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sidR="00592A8A" w:rsidRPr="00EA399C">
        <w:rPr>
          <w:rFonts w:ascii="Arial" w:hAnsi="Arial" w:cs="Arial"/>
          <w:sz w:val="24"/>
          <w:szCs w:val="24"/>
          <w:u w:val="single"/>
        </w:rPr>
        <w:t>Montana Department of Transportation</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872F18" w:rsidRDefault="00872F18" w:rsidP="00551D8A">
            <w:pPr>
              <w:ind w:right="-720"/>
              <w:rPr>
                <w:rFonts w:ascii="Arial" w:hAnsi="Arial" w:cs="Arial"/>
                <w:i/>
                <w:sz w:val="20"/>
                <w:szCs w:val="20"/>
              </w:rPr>
            </w:pPr>
            <w:r w:rsidRPr="00FF32BE">
              <w:rPr>
                <w:rFonts w:ascii="Arial" w:hAnsi="Arial" w:cs="Arial"/>
                <w:i/>
                <w:sz w:val="20"/>
                <w:szCs w:val="20"/>
              </w:rPr>
              <w:t>(i.e</w:t>
            </w:r>
            <w:r w:rsidR="003F443F">
              <w:rPr>
                <w:rFonts w:ascii="Arial" w:hAnsi="Arial" w:cs="Arial"/>
                <w:i/>
                <w:sz w:val="20"/>
                <w:szCs w:val="20"/>
              </w:rPr>
              <w:t>.</w:t>
            </w:r>
            <w:r w:rsidRPr="00FF32BE">
              <w:rPr>
                <w:rFonts w:ascii="Arial" w:hAnsi="Arial" w:cs="Arial"/>
                <w:i/>
                <w:sz w:val="20"/>
                <w:szCs w:val="20"/>
              </w:rPr>
              <w:t>, SPR-2(XXX), SPR-3(XXX) or TPF-5(XXX)</w:t>
            </w:r>
          </w:p>
          <w:p w:rsidR="00E35E0F" w:rsidRDefault="00E35E0F" w:rsidP="00551D8A">
            <w:pPr>
              <w:ind w:right="-720"/>
              <w:rPr>
                <w:rFonts w:ascii="Arial" w:hAnsi="Arial" w:cs="Arial"/>
                <w:i/>
                <w:sz w:val="20"/>
                <w:szCs w:val="20"/>
              </w:rPr>
            </w:pPr>
          </w:p>
          <w:p w:rsidR="00E35E0F" w:rsidRPr="00E35E0F" w:rsidRDefault="00E93544" w:rsidP="00551D8A">
            <w:pPr>
              <w:ind w:right="-720"/>
              <w:rPr>
                <w:rFonts w:ascii="Arial" w:hAnsi="Arial" w:cs="Arial"/>
                <w:sz w:val="20"/>
                <w:szCs w:val="20"/>
              </w:rPr>
            </w:pPr>
            <w:r>
              <w:rPr>
                <w:rFonts w:ascii="Arial" w:hAnsi="Arial" w:cs="Arial"/>
                <w:sz w:val="20"/>
                <w:szCs w:val="20"/>
              </w:rPr>
              <w:t>TPF-5</w:t>
            </w:r>
            <w:r w:rsidR="00C54D9A">
              <w:rPr>
                <w:rFonts w:ascii="Arial" w:hAnsi="Arial" w:cs="Arial"/>
                <w:sz w:val="20"/>
                <w:szCs w:val="20"/>
              </w:rPr>
              <w:t>(309)</w:t>
            </w:r>
          </w:p>
        </w:tc>
        <w:tc>
          <w:tcPr>
            <w:tcW w:w="5490"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551D8A" w:rsidRDefault="00E71993" w:rsidP="003F443F">
            <w:pPr>
              <w:ind w:right="252"/>
              <w:rPr>
                <w:rFonts w:ascii="Arial" w:hAnsi="Arial" w:cs="Arial"/>
                <w:sz w:val="20"/>
                <w:szCs w:val="20"/>
              </w:rPr>
            </w:pPr>
            <w:r>
              <w:rPr>
                <w:rFonts w:ascii="Arial" w:hAnsi="Arial" w:cs="Arial"/>
                <w:sz w:val="36"/>
                <w:szCs w:val="36"/>
              </w:rPr>
              <w:t>X</w:t>
            </w:r>
            <w:r w:rsidR="00325C08">
              <w:rPr>
                <w:rFonts w:ascii="Arial" w:hAnsi="Arial" w:cs="Arial"/>
                <w:sz w:val="36"/>
                <w:szCs w:val="36"/>
              </w:rPr>
              <w:t xml:space="preserve"> </w:t>
            </w:r>
            <w:r w:rsidR="00551D8A">
              <w:rPr>
                <w:rFonts w:ascii="Arial" w:hAnsi="Arial" w:cs="Arial"/>
                <w:sz w:val="20"/>
                <w:szCs w:val="20"/>
              </w:rPr>
              <w:t>Quarter 1 (January 1 – March 31)</w:t>
            </w:r>
          </w:p>
          <w:p w:rsidR="00551D8A" w:rsidRDefault="00551D8A" w:rsidP="00037FBC">
            <w:pPr>
              <w:ind w:right="-720"/>
              <w:rPr>
                <w:rFonts w:ascii="Arial" w:hAnsi="Arial" w:cs="Arial"/>
                <w:sz w:val="20"/>
                <w:szCs w:val="20"/>
              </w:rPr>
            </w:pPr>
            <w:r w:rsidRPr="00551D8A">
              <w:rPr>
                <w:rFonts w:ascii="Arial" w:hAnsi="Arial" w:cs="Arial"/>
                <w:sz w:val="36"/>
                <w:szCs w:val="36"/>
              </w:rPr>
              <w:t>□</w:t>
            </w:r>
            <w:r>
              <w:rPr>
                <w:rFonts w:ascii="Arial" w:hAnsi="Arial" w:cs="Arial"/>
                <w:sz w:val="20"/>
                <w:szCs w:val="20"/>
              </w:rPr>
              <w:t>Quarter 2 (April 1 – June 30)</w:t>
            </w:r>
          </w:p>
          <w:p w:rsidR="00551D8A" w:rsidRDefault="00551D8A" w:rsidP="00037FBC">
            <w:pPr>
              <w:ind w:right="-720"/>
              <w:rPr>
                <w:rFonts w:ascii="Arial" w:hAnsi="Arial" w:cs="Arial"/>
                <w:sz w:val="20"/>
                <w:szCs w:val="20"/>
              </w:rPr>
            </w:pPr>
            <w:r w:rsidRPr="00551D8A">
              <w:rPr>
                <w:rFonts w:ascii="Arial" w:hAnsi="Arial" w:cs="Arial"/>
                <w:sz w:val="36"/>
                <w:szCs w:val="36"/>
              </w:rPr>
              <w:t>□</w:t>
            </w:r>
            <w:r>
              <w:rPr>
                <w:rFonts w:ascii="Arial" w:hAnsi="Arial" w:cs="Arial"/>
                <w:sz w:val="20"/>
                <w:szCs w:val="20"/>
              </w:rPr>
              <w:t>Quarter 3 (July 1 – September 30)</w:t>
            </w:r>
          </w:p>
          <w:p w:rsidR="00551D8A" w:rsidRPr="00551D8A" w:rsidRDefault="00E71993" w:rsidP="00037FBC">
            <w:pPr>
              <w:ind w:right="-720"/>
              <w:rPr>
                <w:rFonts w:ascii="Arial" w:hAnsi="Arial" w:cs="Arial"/>
                <w:sz w:val="20"/>
                <w:szCs w:val="20"/>
              </w:rPr>
            </w:pPr>
            <w:r w:rsidRPr="00551D8A">
              <w:rPr>
                <w:rFonts w:ascii="Arial" w:hAnsi="Arial" w:cs="Arial"/>
                <w:sz w:val="36"/>
                <w:szCs w:val="36"/>
              </w:rPr>
              <w:t>□</w:t>
            </w:r>
            <w:r w:rsidR="00581B36">
              <w:rPr>
                <w:rFonts w:ascii="Arial" w:hAnsi="Arial" w:cs="Arial"/>
                <w:sz w:val="20"/>
                <w:szCs w:val="20"/>
              </w:rPr>
              <w:t>Quarter 4 (October 1</w:t>
            </w:r>
            <w:r w:rsidR="00551D8A">
              <w:rPr>
                <w:rFonts w:ascii="Arial" w:hAnsi="Arial" w:cs="Arial"/>
                <w:sz w:val="20"/>
                <w:szCs w:val="20"/>
              </w:rPr>
              <w:t xml:space="preserve"> – December 31)</w:t>
            </w:r>
          </w:p>
        </w:tc>
      </w:tr>
      <w:tr w:rsidR="00743C01" w:rsidRPr="00B66A21" w:rsidTr="00874EF7">
        <w:tc>
          <w:tcPr>
            <w:tcW w:w="10908" w:type="dxa"/>
            <w:gridSpan w:val="4"/>
          </w:tcPr>
          <w:p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rsidR="00E93544" w:rsidRPr="00E93544" w:rsidRDefault="00E93544" w:rsidP="00551D8A">
            <w:pPr>
              <w:ind w:right="-720"/>
              <w:rPr>
                <w:rFonts w:ascii="Arial" w:hAnsi="Arial" w:cs="Arial"/>
                <w:sz w:val="20"/>
                <w:szCs w:val="20"/>
              </w:rPr>
            </w:pPr>
          </w:p>
          <w:p w:rsidR="00535598" w:rsidRPr="00E93544" w:rsidRDefault="002914C0" w:rsidP="00551D8A">
            <w:pPr>
              <w:ind w:right="-720"/>
              <w:rPr>
                <w:rFonts w:ascii="Arial" w:hAnsi="Arial" w:cs="Arial"/>
                <w:sz w:val="20"/>
                <w:szCs w:val="20"/>
              </w:rPr>
            </w:pPr>
            <w:r w:rsidRPr="00E93544">
              <w:rPr>
                <w:rFonts w:ascii="Arial" w:hAnsi="Arial" w:cs="Arial"/>
                <w:sz w:val="20"/>
                <w:szCs w:val="20"/>
              </w:rPr>
              <w:t>Partnership for the Transformation of Traffic Safety Culture</w:t>
            </w:r>
          </w:p>
          <w:p w:rsidR="00743C01" w:rsidRPr="00B66A21" w:rsidRDefault="00743C01" w:rsidP="00551D8A">
            <w:pPr>
              <w:ind w:right="-720"/>
              <w:rPr>
                <w:rFonts w:ascii="Arial" w:hAnsi="Arial" w:cs="Arial"/>
                <w:sz w:val="20"/>
                <w:szCs w:val="20"/>
              </w:rPr>
            </w:pPr>
          </w:p>
        </w:tc>
      </w:tr>
      <w:tr w:rsidR="00743C01" w:rsidRPr="00B66A21" w:rsidTr="00C13753">
        <w:tc>
          <w:tcPr>
            <w:tcW w:w="4158" w:type="dxa"/>
          </w:tcPr>
          <w:p w:rsidR="00743C01" w:rsidRDefault="00535598" w:rsidP="00551D8A">
            <w:pPr>
              <w:ind w:right="-720"/>
              <w:rPr>
                <w:rFonts w:ascii="Arial" w:hAnsi="Arial" w:cs="Arial"/>
                <w:b/>
                <w:sz w:val="20"/>
                <w:szCs w:val="20"/>
              </w:rPr>
            </w:pPr>
            <w:r>
              <w:rPr>
                <w:rFonts w:ascii="Arial" w:hAnsi="Arial" w:cs="Arial"/>
                <w:b/>
                <w:sz w:val="20"/>
                <w:szCs w:val="20"/>
              </w:rPr>
              <w:t>Name of Project Manager(s):</w:t>
            </w:r>
          </w:p>
          <w:p w:rsidR="00592A8A" w:rsidRPr="008E2183" w:rsidRDefault="00592A8A" w:rsidP="00551D8A">
            <w:pPr>
              <w:ind w:right="-720"/>
              <w:rPr>
                <w:rFonts w:ascii="Arial" w:hAnsi="Arial" w:cs="Arial"/>
                <w:sz w:val="20"/>
                <w:szCs w:val="20"/>
              </w:rPr>
            </w:pPr>
            <w:r w:rsidRPr="008E2183">
              <w:rPr>
                <w:rFonts w:ascii="Arial" w:hAnsi="Arial" w:cs="Arial"/>
                <w:sz w:val="20"/>
                <w:szCs w:val="20"/>
              </w:rPr>
              <w:t>Sue Sillick</w:t>
            </w:r>
          </w:p>
        </w:tc>
        <w:tc>
          <w:tcPr>
            <w:tcW w:w="3330" w:type="dxa"/>
            <w:gridSpan w:val="2"/>
          </w:tcPr>
          <w:p w:rsidR="00743C01" w:rsidRDefault="00535598" w:rsidP="00551D8A">
            <w:pPr>
              <w:ind w:right="-720"/>
              <w:rPr>
                <w:rFonts w:ascii="Arial" w:hAnsi="Arial" w:cs="Arial"/>
                <w:b/>
                <w:sz w:val="20"/>
                <w:szCs w:val="20"/>
              </w:rPr>
            </w:pPr>
            <w:r>
              <w:rPr>
                <w:rFonts w:ascii="Arial" w:hAnsi="Arial" w:cs="Arial"/>
                <w:b/>
                <w:sz w:val="20"/>
                <w:szCs w:val="20"/>
              </w:rPr>
              <w:t>Phone Number:</w:t>
            </w:r>
          </w:p>
          <w:p w:rsidR="00592A8A" w:rsidRPr="008E2183" w:rsidRDefault="002914C0" w:rsidP="00551D8A">
            <w:pPr>
              <w:ind w:right="-720"/>
              <w:rPr>
                <w:rFonts w:ascii="Arial" w:hAnsi="Arial" w:cs="Arial"/>
                <w:sz w:val="20"/>
                <w:szCs w:val="20"/>
              </w:rPr>
            </w:pPr>
            <w:r w:rsidRPr="008E2183">
              <w:rPr>
                <w:rFonts w:ascii="Arial" w:hAnsi="Arial" w:cs="Arial"/>
                <w:sz w:val="20"/>
                <w:szCs w:val="20"/>
              </w:rPr>
              <w:t>406-444-7693</w:t>
            </w:r>
          </w:p>
        </w:tc>
        <w:tc>
          <w:tcPr>
            <w:tcW w:w="3420" w:type="dxa"/>
          </w:tcPr>
          <w:p w:rsidR="00743C01" w:rsidRDefault="00535598" w:rsidP="00551D8A">
            <w:pPr>
              <w:ind w:right="-720"/>
              <w:rPr>
                <w:rFonts w:ascii="Arial" w:hAnsi="Arial" w:cs="Arial"/>
                <w:b/>
                <w:sz w:val="20"/>
                <w:szCs w:val="20"/>
              </w:rPr>
            </w:pPr>
            <w:r>
              <w:rPr>
                <w:rFonts w:ascii="Arial" w:hAnsi="Arial" w:cs="Arial"/>
                <w:b/>
                <w:sz w:val="20"/>
                <w:szCs w:val="20"/>
              </w:rPr>
              <w:t>E-Mail</w:t>
            </w:r>
          </w:p>
          <w:p w:rsidR="00535598" w:rsidRPr="008E2183" w:rsidRDefault="002914C0" w:rsidP="00551D8A">
            <w:pPr>
              <w:ind w:right="-720"/>
              <w:rPr>
                <w:rFonts w:ascii="Arial" w:hAnsi="Arial" w:cs="Arial"/>
                <w:sz w:val="20"/>
                <w:szCs w:val="20"/>
              </w:rPr>
            </w:pPr>
            <w:r w:rsidRPr="008E2183">
              <w:rPr>
                <w:rFonts w:ascii="Arial" w:hAnsi="Arial" w:cs="Arial"/>
                <w:sz w:val="20"/>
                <w:szCs w:val="20"/>
              </w:rPr>
              <w:t>ssillick@mt.gov</w:t>
            </w:r>
          </w:p>
          <w:p w:rsidR="004156B2" w:rsidRPr="00B66A21" w:rsidRDefault="004156B2" w:rsidP="00551D8A">
            <w:pPr>
              <w:ind w:right="-720"/>
              <w:rPr>
                <w:rFonts w:ascii="Arial" w:hAnsi="Arial" w:cs="Arial"/>
                <w:sz w:val="20"/>
                <w:szCs w:val="20"/>
              </w:rPr>
            </w:pPr>
          </w:p>
        </w:tc>
      </w:tr>
      <w:tr w:rsidR="00535598" w:rsidRPr="00B66A21" w:rsidTr="00C13753">
        <w:tc>
          <w:tcPr>
            <w:tcW w:w="4158" w:type="dxa"/>
          </w:tcPr>
          <w:p w:rsidR="00535598" w:rsidRDefault="00535598" w:rsidP="0003476C">
            <w:pPr>
              <w:ind w:right="-720"/>
              <w:rPr>
                <w:rFonts w:ascii="Arial" w:hAnsi="Arial" w:cs="Arial"/>
                <w:b/>
                <w:sz w:val="20"/>
                <w:szCs w:val="20"/>
              </w:rPr>
            </w:pPr>
            <w:r w:rsidRPr="00C13753">
              <w:rPr>
                <w:rFonts w:ascii="Arial" w:hAnsi="Arial" w:cs="Arial"/>
                <w:b/>
                <w:sz w:val="20"/>
                <w:szCs w:val="20"/>
              </w:rPr>
              <w:t>Lead Agency Project ID:</w:t>
            </w:r>
          </w:p>
          <w:p w:rsidR="00592A8A" w:rsidRPr="008E2183" w:rsidRDefault="00942D20" w:rsidP="00942D20">
            <w:pPr>
              <w:ind w:right="-720"/>
              <w:rPr>
                <w:rFonts w:ascii="Arial" w:hAnsi="Arial" w:cs="Arial"/>
                <w:sz w:val="20"/>
                <w:szCs w:val="20"/>
              </w:rPr>
            </w:pPr>
            <w:r>
              <w:rPr>
                <w:rFonts w:ascii="Arial" w:hAnsi="Arial" w:cs="Arial"/>
                <w:sz w:val="20"/>
                <w:szCs w:val="20"/>
              </w:rPr>
              <w:t>8882-309</w:t>
            </w:r>
          </w:p>
        </w:tc>
        <w:tc>
          <w:tcPr>
            <w:tcW w:w="3330" w:type="dxa"/>
            <w:gridSpan w:val="2"/>
          </w:tcPr>
          <w:p w:rsidR="002914C0" w:rsidRPr="00942D20" w:rsidRDefault="00535598" w:rsidP="0003476C">
            <w:pPr>
              <w:ind w:right="-720"/>
              <w:rPr>
                <w:rFonts w:ascii="Arial" w:hAnsi="Arial" w:cs="Arial"/>
                <w:b/>
                <w:sz w:val="20"/>
                <w:szCs w:val="20"/>
              </w:rPr>
            </w:pPr>
            <w:r w:rsidRPr="00C13753">
              <w:rPr>
                <w:rFonts w:ascii="Arial" w:hAnsi="Arial" w:cs="Arial"/>
                <w:b/>
                <w:sz w:val="20"/>
                <w:szCs w:val="20"/>
              </w:rPr>
              <w:t>Other Project ID (i.e., contract #):</w:t>
            </w:r>
          </w:p>
        </w:tc>
        <w:tc>
          <w:tcPr>
            <w:tcW w:w="3420" w:type="dxa"/>
          </w:tcPr>
          <w:p w:rsidR="00592A8A" w:rsidRPr="00C13753" w:rsidRDefault="00535598" w:rsidP="0003476C">
            <w:pPr>
              <w:ind w:right="-720"/>
              <w:rPr>
                <w:rFonts w:ascii="Arial" w:hAnsi="Arial" w:cs="Arial"/>
                <w:b/>
                <w:sz w:val="20"/>
                <w:szCs w:val="20"/>
              </w:rPr>
            </w:pPr>
            <w:r w:rsidRPr="00C13753">
              <w:rPr>
                <w:rFonts w:ascii="Arial" w:hAnsi="Arial" w:cs="Arial"/>
                <w:b/>
                <w:sz w:val="20"/>
                <w:szCs w:val="20"/>
              </w:rPr>
              <w:t>Project Start Date:</w:t>
            </w:r>
          </w:p>
          <w:p w:rsidR="00535598" w:rsidRDefault="00E93544" w:rsidP="002914C0">
            <w:pPr>
              <w:ind w:right="-720"/>
              <w:rPr>
                <w:rFonts w:ascii="Arial" w:hAnsi="Arial" w:cs="Arial"/>
                <w:sz w:val="20"/>
                <w:szCs w:val="20"/>
              </w:rPr>
            </w:pPr>
            <w:r>
              <w:rPr>
                <w:rFonts w:ascii="Arial" w:hAnsi="Arial" w:cs="Arial"/>
                <w:sz w:val="20"/>
                <w:szCs w:val="20"/>
              </w:rPr>
              <w:t>Oct, 1</w:t>
            </w:r>
            <w:r w:rsidRPr="00E93544">
              <w:rPr>
                <w:rFonts w:ascii="Arial" w:hAnsi="Arial" w:cs="Arial"/>
                <w:sz w:val="20"/>
                <w:szCs w:val="20"/>
                <w:vertAlign w:val="superscript"/>
              </w:rPr>
              <w:t>st</w:t>
            </w:r>
            <w:r>
              <w:rPr>
                <w:rFonts w:ascii="Arial" w:hAnsi="Arial" w:cs="Arial"/>
                <w:sz w:val="20"/>
                <w:szCs w:val="20"/>
              </w:rPr>
              <w:t>, 2014</w:t>
            </w:r>
          </w:p>
          <w:p w:rsidR="00E93544" w:rsidRPr="00B66A21" w:rsidRDefault="00E93544" w:rsidP="002914C0">
            <w:pPr>
              <w:ind w:right="-720"/>
              <w:rPr>
                <w:rFonts w:ascii="Arial" w:hAnsi="Arial" w:cs="Arial"/>
                <w:sz w:val="20"/>
                <w:szCs w:val="20"/>
              </w:rPr>
            </w:pPr>
          </w:p>
        </w:tc>
      </w:tr>
      <w:tr w:rsidR="00535598" w:rsidRPr="00B66A21" w:rsidTr="00C13753">
        <w:tc>
          <w:tcPr>
            <w:tcW w:w="4158" w:type="dxa"/>
          </w:tcPr>
          <w:p w:rsidR="00535598" w:rsidRDefault="00535598" w:rsidP="0003476C">
            <w:pPr>
              <w:ind w:right="-720"/>
              <w:rPr>
                <w:rFonts w:ascii="Arial" w:hAnsi="Arial" w:cs="Arial"/>
                <w:b/>
                <w:sz w:val="20"/>
                <w:szCs w:val="20"/>
              </w:rPr>
            </w:pPr>
            <w:r w:rsidRPr="00C13753">
              <w:rPr>
                <w:rFonts w:ascii="Arial" w:hAnsi="Arial" w:cs="Arial"/>
                <w:b/>
                <w:sz w:val="20"/>
                <w:szCs w:val="20"/>
              </w:rPr>
              <w:t>Original Project End Date:</w:t>
            </w:r>
          </w:p>
          <w:p w:rsidR="00592A8A" w:rsidRPr="00592A8A" w:rsidRDefault="00E93544" w:rsidP="0003476C">
            <w:pPr>
              <w:ind w:right="-720"/>
              <w:rPr>
                <w:rFonts w:ascii="Arial" w:hAnsi="Arial" w:cs="Arial"/>
                <w:sz w:val="20"/>
                <w:szCs w:val="20"/>
              </w:rPr>
            </w:pPr>
            <w:r>
              <w:rPr>
                <w:rFonts w:ascii="Arial" w:hAnsi="Arial" w:cs="Arial"/>
                <w:sz w:val="20"/>
                <w:szCs w:val="20"/>
              </w:rPr>
              <w:t>September 30</w:t>
            </w:r>
            <w:r w:rsidRPr="00E93544">
              <w:rPr>
                <w:rFonts w:ascii="Arial" w:hAnsi="Arial" w:cs="Arial"/>
                <w:sz w:val="20"/>
                <w:szCs w:val="20"/>
                <w:vertAlign w:val="superscript"/>
              </w:rPr>
              <w:t>th</w:t>
            </w:r>
            <w:r>
              <w:rPr>
                <w:rFonts w:ascii="Arial" w:hAnsi="Arial" w:cs="Arial"/>
                <w:sz w:val="20"/>
                <w:szCs w:val="20"/>
              </w:rPr>
              <w:t>, 2019</w:t>
            </w:r>
          </w:p>
        </w:tc>
        <w:tc>
          <w:tcPr>
            <w:tcW w:w="3330" w:type="dxa"/>
            <w:gridSpan w:val="2"/>
          </w:tcPr>
          <w:p w:rsidR="00535598" w:rsidRDefault="00535598" w:rsidP="0003476C">
            <w:pPr>
              <w:ind w:right="-720"/>
              <w:rPr>
                <w:rFonts w:ascii="Arial" w:hAnsi="Arial" w:cs="Arial"/>
                <w:b/>
                <w:sz w:val="20"/>
                <w:szCs w:val="20"/>
              </w:rPr>
            </w:pPr>
            <w:r w:rsidRPr="00C13753">
              <w:rPr>
                <w:rFonts w:ascii="Arial" w:hAnsi="Arial" w:cs="Arial"/>
                <w:b/>
                <w:sz w:val="20"/>
                <w:szCs w:val="20"/>
              </w:rPr>
              <w:t>Current Project End Date:</w:t>
            </w:r>
          </w:p>
          <w:p w:rsidR="00E93544" w:rsidRPr="008E2183" w:rsidRDefault="00E93544" w:rsidP="0003476C">
            <w:pPr>
              <w:ind w:right="-720"/>
              <w:rPr>
                <w:rFonts w:ascii="Arial" w:hAnsi="Arial" w:cs="Arial"/>
                <w:sz w:val="20"/>
                <w:szCs w:val="20"/>
              </w:rPr>
            </w:pPr>
            <w:r w:rsidRPr="008E2183">
              <w:rPr>
                <w:rFonts w:ascii="Arial" w:hAnsi="Arial" w:cs="Arial"/>
                <w:sz w:val="20"/>
                <w:szCs w:val="20"/>
              </w:rPr>
              <w:t>September 30</w:t>
            </w:r>
            <w:r w:rsidRPr="008E2183">
              <w:rPr>
                <w:rFonts w:ascii="Arial" w:hAnsi="Arial" w:cs="Arial"/>
                <w:sz w:val="20"/>
                <w:szCs w:val="20"/>
                <w:vertAlign w:val="superscript"/>
              </w:rPr>
              <w:t>th</w:t>
            </w:r>
            <w:r w:rsidRPr="008E2183">
              <w:rPr>
                <w:rFonts w:ascii="Arial" w:hAnsi="Arial" w:cs="Arial"/>
                <w:sz w:val="20"/>
                <w:szCs w:val="20"/>
              </w:rPr>
              <w:t>, 2019</w:t>
            </w: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Number of Extensions:</w:t>
            </w:r>
          </w:p>
          <w:p w:rsidR="00535598" w:rsidRDefault="00C83A6C" w:rsidP="0003476C">
            <w:pPr>
              <w:ind w:right="-720"/>
              <w:rPr>
                <w:rFonts w:ascii="Arial" w:hAnsi="Arial" w:cs="Arial"/>
                <w:sz w:val="20"/>
                <w:szCs w:val="20"/>
              </w:rPr>
            </w:pPr>
            <w:r>
              <w:rPr>
                <w:rFonts w:ascii="Arial" w:hAnsi="Arial" w:cs="Arial"/>
                <w:sz w:val="20"/>
                <w:szCs w:val="20"/>
              </w:rPr>
              <w:t>0</w:t>
            </w:r>
          </w:p>
          <w:p w:rsidR="00535598" w:rsidRPr="00B66A21" w:rsidRDefault="00535598" w:rsidP="0003476C">
            <w:pPr>
              <w:ind w:right="-720"/>
              <w:rPr>
                <w:rFonts w:ascii="Arial" w:hAnsi="Arial" w:cs="Arial"/>
                <w:sz w:val="20"/>
                <w:szCs w:val="20"/>
              </w:rPr>
            </w:pP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B66A21" w:rsidRDefault="00E93544" w:rsidP="00551D8A">
      <w:pPr>
        <w:spacing w:after="0"/>
        <w:ind w:left="-720" w:right="-720"/>
        <w:rPr>
          <w:rFonts w:ascii="Arial" w:hAnsi="Arial" w:cs="Arial"/>
          <w:sz w:val="20"/>
          <w:szCs w:val="20"/>
        </w:rPr>
      </w:pPr>
      <w:r>
        <w:rPr>
          <w:rFonts w:ascii="Arial" w:hAnsi="Arial" w:cs="Arial"/>
          <w:sz w:val="36"/>
          <w:szCs w:val="36"/>
        </w:rPr>
        <w:t>X</w:t>
      </w:r>
      <w:r w:rsidR="00743C01" w:rsidRPr="00B66A21">
        <w:rPr>
          <w:rFonts w:ascii="Arial" w:hAnsi="Arial" w:cs="Arial"/>
          <w:sz w:val="36"/>
          <w:szCs w:val="36"/>
        </w:rPr>
        <w:t xml:space="preserve"> </w:t>
      </w:r>
      <w:r w:rsidR="00743C01" w:rsidRPr="00B66A21">
        <w:rPr>
          <w:rFonts w:ascii="Arial" w:hAnsi="Arial" w:cs="Arial"/>
          <w:sz w:val="20"/>
          <w:szCs w:val="20"/>
        </w:rPr>
        <w:t>On schedule</w:t>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On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w:t>
      </w:r>
      <w:r w:rsidR="00743C01" w:rsidRPr="00B66A21">
        <w:rPr>
          <w:rFonts w:ascii="Arial" w:hAnsi="Arial" w:cs="Arial"/>
          <w:sz w:val="20"/>
          <w:szCs w:val="20"/>
        </w:rPr>
        <w:t xml:space="preserve"> 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rsidTr="00B66A21">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rsidTr="00B66A21">
        <w:tc>
          <w:tcPr>
            <w:tcW w:w="4158" w:type="dxa"/>
          </w:tcPr>
          <w:p w:rsidR="00874EF7" w:rsidRPr="00B66A21" w:rsidRDefault="008E2183" w:rsidP="00843F69">
            <w:pPr>
              <w:ind w:right="-720"/>
              <w:jc w:val="center"/>
              <w:rPr>
                <w:rFonts w:ascii="Arial" w:hAnsi="Arial" w:cs="Arial"/>
                <w:sz w:val="20"/>
                <w:szCs w:val="20"/>
              </w:rPr>
            </w:pPr>
            <w:r>
              <w:rPr>
                <w:rFonts w:ascii="Arial" w:hAnsi="Arial" w:cs="Arial"/>
                <w:sz w:val="20"/>
                <w:szCs w:val="20"/>
              </w:rPr>
              <w:t>$</w:t>
            </w:r>
            <w:r w:rsidR="00843F69">
              <w:rPr>
                <w:rFonts w:ascii="Arial" w:hAnsi="Arial" w:cs="Arial"/>
                <w:sz w:val="20"/>
                <w:szCs w:val="20"/>
              </w:rPr>
              <w:t>66,949.00</w:t>
            </w:r>
          </w:p>
        </w:tc>
        <w:tc>
          <w:tcPr>
            <w:tcW w:w="3330" w:type="dxa"/>
          </w:tcPr>
          <w:p w:rsidR="00874EF7" w:rsidRPr="00B66A21" w:rsidRDefault="00C83A6C" w:rsidP="00E71D85">
            <w:pPr>
              <w:ind w:right="-720"/>
              <w:jc w:val="center"/>
              <w:rPr>
                <w:rFonts w:ascii="Arial" w:hAnsi="Arial" w:cs="Arial"/>
                <w:sz w:val="20"/>
                <w:szCs w:val="20"/>
              </w:rPr>
            </w:pPr>
            <w:r>
              <w:rPr>
                <w:rFonts w:ascii="Arial" w:hAnsi="Arial" w:cs="Arial"/>
                <w:sz w:val="20"/>
                <w:szCs w:val="20"/>
              </w:rPr>
              <w:t>$</w:t>
            </w:r>
            <w:r w:rsidR="00E71D85">
              <w:rPr>
                <w:rFonts w:ascii="Arial" w:hAnsi="Arial" w:cs="Arial"/>
                <w:sz w:val="20"/>
                <w:szCs w:val="20"/>
              </w:rPr>
              <w:t>9</w:t>
            </w:r>
            <w:r w:rsidR="00F76AF4">
              <w:rPr>
                <w:rFonts w:ascii="Arial" w:hAnsi="Arial" w:cs="Arial"/>
                <w:sz w:val="20"/>
                <w:szCs w:val="20"/>
              </w:rPr>
              <w:t>46</w:t>
            </w:r>
            <w:r w:rsidR="00E71D85">
              <w:rPr>
                <w:rFonts w:ascii="Arial" w:hAnsi="Arial" w:cs="Arial"/>
                <w:sz w:val="20"/>
                <w:szCs w:val="20"/>
              </w:rPr>
              <w:t>9</w:t>
            </w:r>
            <w:r w:rsidR="00E87A8B">
              <w:rPr>
                <w:rFonts w:ascii="Arial" w:hAnsi="Arial" w:cs="Arial"/>
                <w:sz w:val="20"/>
                <w:szCs w:val="20"/>
              </w:rPr>
              <w:t>.96</w:t>
            </w:r>
          </w:p>
        </w:tc>
        <w:tc>
          <w:tcPr>
            <w:tcW w:w="3420" w:type="dxa"/>
          </w:tcPr>
          <w:p w:rsidR="00874EF7" w:rsidRPr="00B66A21" w:rsidRDefault="00325C08" w:rsidP="00C83A6C">
            <w:pPr>
              <w:ind w:right="-720"/>
              <w:jc w:val="center"/>
              <w:rPr>
                <w:rFonts w:ascii="Arial" w:hAnsi="Arial" w:cs="Arial"/>
                <w:sz w:val="20"/>
                <w:szCs w:val="20"/>
              </w:rPr>
            </w:pPr>
            <w:r>
              <w:rPr>
                <w:rFonts w:ascii="Arial" w:hAnsi="Arial" w:cs="Arial"/>
                <w:sz w:val="20"/>
                <w:szCs w:val="20"/>
              </w:rPr>
              <w:t>30</w:t>
            </w:r>
            <w:r w:rsidR="00C83A6C">
              <w:rPr>
                <w:rFonts w:ascii="Arial" w:hAnsi="Arial" w:cs="Arial"/>
                <w:sz w:val="20"/>
                <w:szCs w:val="20"/>
              </w:rPr>
              <w:t>%</w:t>
            </w:r>
          </w:p>
          <w:p w:rsidR="00874EF7" w:rsidRPr="00B66A21" w:rsidRDefault="00874EF7" w:rsidP="00C83A6C">
            <w:pPr>
              <w:ind w:right="-720"/>
              <w:jc w:val="center"/>
              <w:rPr>
                <w:rFonts w:ascii="Arial" w:hAnsi="Arial" w:cs="Arial"/>
                <w:sz w:val="20"/>
                <w:szCs w:val="20"/>
              </w:rPr>
            </w:pP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r w:rsidR="00D7379C">
        <w:rPr>
          <w:rStyle w:val="FootnoteReference"/>
          <w:rFonts w:ascii="Arial" w:hAnsi="Arial" w:cs="Arial"/>
          <w:sz w:val="20"/>
          <w:szCs w:val="20"/>
        </w:rPr>
        <w:footnoteReference w:id="1"/>
      </w:r>
      <w:r>
        <w:rPr>
          <w:rFonts w:ascii="Arial" w:hAnsi="Arial" w:cs="Arial"/>
          <w:sz w:val="20"/>
          <w:szCs w:val="20"/>
        </w:rPr>
        <w:t>:</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rsidTr="00B66A21">
        <w:tc>
          <w:tcPr>
            <w:tcW w:w="4158" w:type="dxa"/>
            <w:shd w:val="pct15" w:color="auto" w:fill="auto"/>
          </w:tcPr>
          <w:p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rsidTr="00B66A21">
        <w:tc>
          <w:tcPr>
            <w:tcW w:w="4158" w:type="dxa"/>
          </w:tcPr>
          <w:p w:rsidR="00B66A21" w:rsidRPr="00B66A21" w:rsidRDefault="00C83A6C" w:rsidP="00E87A8B">
            <w:pPr>
              <w:ind w:right="-720"/>
              <w:jc w:val="center"/>
              <w:rPr>
                <w:rFonts w:ascii="Arial" w:hAnsi="Arial" w:cs="Arial"/>
                <w:sz w:val="20"/>
                <w:szCs w:val="20"/>
              </w:rPr>
            </w:pPr>
            <w:r>
              <w:rPr>
                <w:rFonts w:ascii="Arial" w:hAnsi="Arial" w:cs="Arial"/>
                <w:sz w:val="20"/>
                <w:szCs w:val="20"/>
              </w:rPr>
              <w:t>$</w:t>
            </w:r>
            <w:r w:rsidR="00E87A8B">
              <w:rPr>
                <w:rFonts w:ascii="Arial" w:hAnsi="Arial" w:cs="Arial"/>
                <w:sz w:val="20"/>
                <w:szCs w:val="20"/>
              </w:rPr>
              <w:t>9</w:t>
            </w:r>
            <w:r w:rsidR="001C4436">
              <w:rPr>
                <w:rFonts w:ascii="Arial" w:hAnsi="Arial" w:cs="Arial"/>
                <w:sz w:val="20"/>
                <w:szCs w:val="20"/>
              </w:rPr>
              <w:t>46</w:t>
            </w:r>
            <w:r w:rsidR="00E87A8B">
              <w:rPr>
                <w:rFonts w:ascii="Arial" w:hAnsi="Arial" w:cs="Arial"/>
                <w:sz w:val="20"/>
                <w:szCs w:val="20"/>
              </w:rPr>
              <w:t>9</w:t>
            </w:r>
            <w:r w:rsidR="001C4436">
              <w:rPr>
                <w:rFonts w:ascii="Arial" w:hAnsi="Arial" w:cs="Arial"/>
                <w:sz w:val="20"/>
                <w:szCs w:val="20"/>
              </w:rPr>
              <w:t>.</w:t>
            </w:r>
            <w:r w:rsidR="00E87A8B">
              <w:rPr>
                <w:rFonts w:ascii="Arial" w:hAnsi="Arial" w:cs="Arial"/>
                <w:sz w:val="20"/>
                <w:szCs w:val="20"/>
              </w:rPr>
              <w:t>96</w:t>
            </w:r>
            <w:r w:rsidR="001C4436">
              <w:rPr>
                <w:rFonts w:ascii="Arial" w:hAnsi="Arial" w:cs="Arial"/>
                <w:sz w:val="20"/>
                <w:szCs w:val="20"/>
              </w:rPr>
              <w:t xml:space="preserve"> and </w:t>
            </w:r>
            <w:r w:rsidR="00325C08">
              <w:rPr>
                <w:rFonts w:ascii="Arial" w:hAnsi="Arial" w:cs="Arial"/>
                <w:sz w:val="20"/>
                <w:szCs w:val="20"/>
              </w:rPr>
              <w:t>14</w:t>
            </w:r>
            <w:r>
              <w:rPr>
                <w:rFonts w:ascii="Arial" w:hAnsi="Arial" w:cs="Arial"/>
                <w:sz w:val="20"/>
                <w:szCs w:val="20"/>
              </w:rPr>
              <w:t>%</w:t>
            </w:r>
          </w:p>
        </w:tc>
        <w:tc>
          <w:tcPr>
            <w:tcW w:w="3330" w:type="dxa"/>
          </w:tcPr>
          <w:p w:rsidR="00B66A21" w:rsidRPr="00B66A21" w:rsidRDefault="00C83A6C" w:rsidP="001C4436">
            <w:pPr>
              <w:ind w:right="-720"/>
              <w:jc w:val="center"/>
              <w:rPr>
                <w:rFonts w:ascii="Arial" w:hAnsi="Arial" w:cs="Arial"/>
                <w:sz w:val="20"/>
                <w:szCs w:val="20"/>
              </w:rPr>
            </w:pPr>
            <w:r>
              <w:rPr>
                <w:rFonts w:ascii="Arial" w:hAnsi="Arial" w:cs="Arial"/>
                <w:sz w:val="20"/>
                <w:szCs w:val="20"/>
              </w:rPr>
              <w:t>$</w:t>
            </w:r>
            <w:r w:rsidR="00E87A8B">
              <w:rPr>
                <w:rFonts w:ascii="Arial" w:hAnsi="Arial" w:cs="Arial"/>
                <w:sz w:val="20"/>
                <w:szCs w:val="20"/>
              </w:rPr>
              <w:t>9469.96</w:t>
            </w:r>
          </w:p>
        </w:tc>
        <w:tc>
          <w:tcPr>
            <w:tcW w:w="3420" w:type="dxa"/>
          </w:tcPr>
          <w:p w:rsidR="00B66A21" w:rsidRDefault="00325C08" w:rsidP="003F443F">
            <w:pPr>
              <w:ind w:right="-720"/>
              <w:jc w:val="center"/>
              <w:rPr>
                <w:rFonts w:ascii="Arial" w:hAnsi="Arial" w:cs="Arial"/>
                <w:sz w:val="20"/>
                <w:szCs w:val="20"/>
              </w:rPr>
            </w:pPr>
            <w:r>
              <w:rPr>
                <w:rFonts w:ascii="Arial" w:hAnsi="Arial" w:cs="Arial"/>
                <w:sz w:val="20"/>
                <w:szCs w:val="20"/>
              </w:rPr>
              <w:t>30</w:t>
            </w:r>
            <w:r w:rsidR="00C83A6C">
              <w:rPr>
                <w:rFonts w:ascii="Arial" w:hAnsi="Arial" w:cs="Arial"/>
                <w:sz w:val="20"/>
                <w:szCs w:val="20"/>
              </w:rPr>
              <w:t>%</w:t>
            </w:r>
          </w:p>
          <w:p w:rsidR="00843F69" w:rsidRPr="00B66A21" w:rsidRDefault="00843F69" w:rsidP="003F443F">
            <w:pPr>
              <w:ind w:right="-720"/>
              <w:jc w:val="center"/>
              <w:rPr>
                <w:rFonts w:ascii="Arial" w:hAnsi="Arial" w:cs="Arial"/>
                <w:sz w:val="20"/>
                <w:szCs w:val="20"/>
              </w:rPr>
            </w:pPr>
          </w:p>
        </w:tc>
      </w:tr>
      <w:tr w:rsidR="00601EBD" w:rsidTr="00601EBD">
        <w:tc>
          <w:tcPr>
            <w:tcW w:w="10908" w:type="dxa"/>
            <w:gridSpan w:val="3"/>
          </w:tcPr>
          <w:p w:rsidR="00601EBD" w:rsidRPr="00EA399C" w:rsidRDefault="00601EBD" w:rsidP="003F443F">
            <w:pPr>
              <w:ind w:right="252"/>
              <w:rPr>
                <w:rFonts w:ascii="Arial" w:hAnsi="Arial" w:cs="Arial"/>
                <w:sz w:val="20"/>
                <w:szCs w:val="20"/>
              </w:rPr>
            </w:pPr>
            <w:r w:rsidRPr="00EA399C">
              <w:rPr>
                <w:rFonts w:ascii="Arial" w:hAnsi="Arial" w:cs="Arial"/>
                <w:b/>
                <w:sz w:val="20"/>
                <w:szCs w:val="20"/>
              </w:rPr>
              <w:lastRenderedPageBreak/>
              <w:t>Project Description</w:t>
            </w:r>
            <w:r w:rsidRPr="00EA399C">
              <w:rPr>
                <w:rFonts w:ascii="Arial" w:hAnsi="Arial" w:cs="Arial"/>
                <w:sz w:val="20"/>
                <w:szCs w:val="20"/>
              </w:rPr>
              <w:t>:</w:t>
            </w:r>
          </w:p>
          <w:p w:rsidR="00E35E0F" w:rsidRPr="00EA399C" w:rsidRDefault="00E35E0F" w:rsidP="003F443F">
            <w:pPr>
              <w:ind w:right="252"/>
              <w:rPr>
                <w:rFonts w:ascii="Arial" w:hAnsi="Arial" w:cs="Arial"/>
                <w:sz w:val="20"/>
                <w:szCs w:val="20"/>
              </w:rPr>
            </w:pPr>
          </w:p>
          <w:p w:rsidR="00601EBD" w:rsidRPr="00EA399C" w:rsidRDefault="002914C0" w:rsidP="003F443F">
            <w:pPr>
              <w:ind w:right="252"/>
              <w:rPr>
                <w:rFonts w:ascii="Arial" w:hAnsi="Arial" w:cs="Arial"/>
                <w:color w:val="000000" w:themeColor="text1"/>
                <w:sz w:val="20"/>
                <w:szCs w:val="20"/>
              </w:rPr>
            </w:pPr>
            <w:r w:rsidRPr="00EA399C">
              <w:rPr>
                <w:rFonts w:ascii="Arial" w:hAnsi="Arial" w:cs="Arial"/>
                <w:color w:val="000000" w:themeColor="text1"/>
                <w:sz w:val="20"/>
                <w:szCs w:val="20"/>
              </w:rPr>
              <w:t>This program is a cooperative effort of participating state DOTs and other (traditional and non-traditional) organizations with a vested interest in traffic safety.  This long-term partnership will support an evolving and integrated project portfolio developed and revised each year by the partners, and complimentary to other related research activities, such as NCHRP 17-69: A Strategic Approach to transforming Traffic Safety Culture to reduce Deaths and Injuries.  Together, these projects will accelerate the development and delivery of tools and services to transform the national, state, and community level traffic safety culture.  The goal of this transformation is to support the Toward Zero Deaths (TZD) vision with susta</w:t>
            </w:r>
            <w:r w:rsidR="003F443F" w:rsidRPr="00EA399C">
              <w:rPr>
                <w:rFonts w:ascii="Arial" w:hAnsi="Arial" w:cs="Arial"/>
                <w:color w:val="000000" w:themeColor="text1"/>
                <w:sz w:val="20"/>
                <w:szCs w:val="20"/>
              </w:rPr>
              <w:t>inable traffic safety solutions.</w:t>
            </w:r>
          </w:p>
          <w:p w:rsidR="003F443F" w:rsidRPr="00EA399C" w:rsidRDefault="003F443F" w:rsidP="003F443F">
            <w:pPr>
              <w:ind w:right="252"/>
              <w:rPr>
                <w:rFonts w:ascii="Arial" w:hAnsi="Arial" w:cs="Arial"/>
                <w:color w:val="000000" w:themeColor="text1"/>
                <w:sz w:val="20"/>
                <w:szCs w:val="20"/>
              </w:rPr>
            </w:pPr>
          </w:p>
          <w:p w:rsidR="002914C0" w:rsidRPr="00EA399C" w:rsidRDefault="002914C0" w:rsidP="003F443F">
            <w:pPr>
              <w:ind w:right="252"/>
              <w:rPr>
                <w:rFonts w:ascii="Arial" w:hAnsi="Arial" w:cs="Arial"/>
                <w:sz w:val="20"/>
                <w:szCs w:val="20"/>
              </w:rPr>
            </w:pPr>
            <w:r w:rsidRPr="00EA399C">
              <w:rPr>
                <w:rFonts w:ascii="Arial" w:hAnsi="Arial" w:cs="Arial"/>
                <w:sz w:val="20"/>
                <w:szCs w:val="20"/>
              </w:rPr>
              <w:t>In this context, the Montana Department of Transportation is partnering with the Center for Health and Safety Culture (CHSC) within the Western Transportation Institute (WTI) at Montana State University to (1) conduct research to solve specific culture-based traffic safety problems, (2) create training and education materials to enhance workforce understanding and application of traffic safety culture methods, and (3) provide technology transfer of best practices in traffic safety culture methods to all stakeholders. Together, these efforts will support the transformation of traffic safety culture within the families, communities, and organizations of participating states.</w:t>
            </w:r>
          </w:p>
          <w:p w:rsidR="00601EBD" w:rsidRPr="00EA399C" w:rsidRDefault="00601EBD" w:rsidP="003F443F">
            <w:pPr>
              <w:ind w:right="252"/>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1252" w:type="dxa"/>
        <w:tblInd w:w="-720" w:type="dxa"/>
        <w:tblLook w:val="04A0" w:firstRow="1" w:lastRow="0" w:firstColumn="1" w:lastColumn="0" w:noHBand="0" w:noVBand="1"/>
      </w:tblPr>
      <w:tblGrid>
        <w:gridCol w:w="11252"/>
      </w:tblGrid>
      <w:tr w:rsidR="00601EBD" w:rsidTr="00EA399C">
        <w:tc>
          <w:tcPr>
            <w:tcW w:w="11252" w:type="dxa"/>
          </w:tcPr>
          <w:p w:rsidR="00601EBD" w:rsidRDefault="00601EBD" w:rsidP="00551D8A">
            <w:pPr>
              <w:ind w:right="-720"/>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rsidR="00601EBD" w:rsidRDefault="00601EBD" w:rsidP="003F443F">
            <w:pPr>
              <w:ind w:right="596"/>
              <w:rPr>
                <w:rFonts w:ascii="Arial" w:hAnsi="Arial" w:cs="Arial"/>
                <w:sz w:val="20"/>
                <w:szCs w:val="20"/>
              </w:rPr>
            </w:pPr>
          </w:p>
          <w:p w:rsidR="00C54D9A" w:rsidRPr="00C54D9A" w:rsidRDefault="00C54D9A" w:rsidP="003F443F">
            <w:pPr>
              <w:ind w:right="596"/>
              <w:rPr>
                <w:rFonts w:ascii="Arial" w:hAnsi="Arial" w:cs="Arial"/>
                <w:sz w:val="20"/>
                <w:szCs w:val="20"/>
                <w:u w:val="single"/>
              </w:rPr>
            </w:pPr>
            <w:r w:rsidRPr="00C54D9A">
              <w:rPr>
                <w:rFonts w:ascii="Arial" w:hAnsi="Arial" w:cs="Arial"/>
                <w:sz w:val="20"/>
                <w:szCs w:val="20"/>
                <w:u w:val="single"/>
              </w:rPr>
              <w:t>Meetings</w:t>
            </w:r>
          </w:p>
          <w:p w:rsidR="00E71993" w:rsidRDefault="00E71993" w:rsidP="003F443F">
            <w:pPr>
              <w:ind w:right="596"/>
              <w:rPr>
                <w:rFonts w:ascii="Arial" w:hAnsi="Arial" w:cs="Arial"/>
                <w:sz w:val="20"/>
                <w:szCs w:val="20"/>
              </w:rPr>
            </w:pPr>
            <w:r>
              <w:rPr>
                <w:rFonts w:ascii="Arial" w:hAnsi="Arial" w:cs="Arial"/>
                <w:sz w:val="20"/>
                <w:szCs w:val="20"/>
              </w:rPr>
              <w:t>January 12</w:t>
            </w:r>
            <w:r w:rsidRPr="00E71993">
              <w:rPr>
                <w:rFonts w:ascii="Arial" w:hAnsi="Arial" w:cs="Arial"/>
                <w:sz w:val="20"/>
                <w:szCs w:val="20"/>
                <w:vertAlign w:val="superscript"/>
              </w:rPr>
              <w:t>th</w:t>
            </w:r>
          </w:p>
          <w:p w:rsidR="00E71993" w:rsidRDefault="00E71993" w:rsidP="00E71993">
            <w:pPr>
              <w:ind w:right="596"/>
              <w:rPr>
                <w:rFonts w:ascii="Arial" w:hAnsi="Arial" w:cs="Arial"/>
                <w:sz w:val="20"/>
                <w:szCs w:val="20"/>
              </w:rPr>
            </w:pPr>
            <w:r>
              <w:rPr>
                <w:rFonts w:ascii="Arial" w:hAnsi="Arial" w:cs="Arial"/>
                <w:sz w:val="20"/>
                <w:szCs w:val="20"/>
              </w:rPr>
              <w:t>The board, program manager, CHSC staff, and other interested parties met to discuss the following items:</w:t>
            </w:r>
          </w:p>
          <w:p w:rsidR="00E71993" w:rsidRDefault="00E71993" w:rsidP="00E71993">
            <w:pPr>
              <w:pStyle w:val="ListParagraph"/>
              <w:numPr>
                <w:ilvl w:val="0"/>
                <w:numId w:val="2"/>
              </w:numPr>
              <w:ind w:right="596"/>
              <w:rPr>
                <w:rFonts w:ascii="Arial" w:hAnsi="Arial" w:cs="Arial"/>
                <w:sz w:val="20"/>
                <w:szCs w:val="20"/>
              </w:rPr>
            </w:pPr>
            <w:r>
              <w:rPr>
                <w:rFonts w:ascii="Arial" w:hAnsi="Arial" w:cs="Arial"/>
                <w:sz w:val="20"/>
                <w:szCs w:val="20"/>
              </w:rPr>
              <w:t>TPF Funding Status - commitments, funding transfers, plans to commit, and confirm board members.</w:t>
            </w:r>
          </w:p>
          <w:p w:rsidR="00E71993" w:rsidRPr="006A49C3" w:rsidRDefault="00E71993" w:rsidP="00E71993">
            <w:pPr>
              <w:pStyle w:val="ListParagraph"/>
              <w:numPr>
                <w:ilvl w:val="0"/>
                <w:numId w:val="2"/>
              </w:numPr>
              <w:ind w:right="596"/>
              <w:rPr>
                <w:rFonts w:ascii="Arial" w:hAnsi="Arial" w:cs="Arial"/>
                <w:sz w:val="20"/>
                <w:szCs w:val="20"/>
              </w:rPr>
            </w:pPr>
            <w:r>
              <w:rPr>
                <w:rFonts w:ascii="Arial" w:hAnsi="Arial" w:cs="Arial"/>
                <w:sz w:val="20"/>
                <w:szCs w:val="20"/>
              </w:rPr>
              <w:t>Related TRB Events</w:t>
            </w:r>
          </w:p>
          <w:p w:rsidR="00E71993" w:rsidRDefault="00E71993" w:rsidP="00E71993">
            <w:pPr>
              <w:pStyle w:val="ListParagraph"/>
              <w:numPr>
                <w:ilvl w:val="0"/>
                <w:numId w:val="2"/>
              </w:numPr>
              <w:ind w:right="596"/>
              <w:rPr>
                <w:rFonts w:ascii="Arial" w:hAnsi="Arial" w:cs="Arial"/>
                <w:sz w:val="20"/>
                <w:szCs w:val="20"/>
              </w:rPr>
            </w:pPr>
            <w:r>
              <w:rPr>
                <w:rFonts w:ascii="Arial" w:hAnsi="Arial" w:cs="Arial"/>
                <w:sz w:val="20"/>
                <w:szCs w:val="20"/>
              </w:rPr>
              <w:t>Related efforts</w:t>
            </w:r>
          </w:p>
          <w:p w:rsidR="00E71993" w:rsidRDefault="00E71993" w:rsidP="00E71993">
            <w:pPr>
              <w:pStyle w:val="ListParagraph"/>
              <w:numPr>
                <w:ilvl w:val="0"/>
                <w:numId w:val="2"/>
              </w:numPr>
              <w:ind w:right="596"/>
              <w:rPr>
                <w:rFonts w:ascii="Arial" w:hAnsi="Arial" w:cs="Arial"/>
                <w:sz w:val="20"/>
                <w:szCs w:val="20"/>
              </w:rPr>
            </w:pPr>
            <w:r>
              <w:rPr>
                <w:rFonts w:ascii="Arial" w:hAnsi="Arial" w:cs="Arial"/>
                <w:sz w:val="20"/>
                <w:szCs w:val="20"/>
              </w:rPr>
              <w:t>Western Transportation Institute (WTI) Safety Center of Excellence</w:t>
            </w:r>
          </w:p>
          <w:p w:rsidR="00E71993" w:rsidRDefault="00E71993" w:rsidP="00E71993">
            <w:pPr>
              <w:pStyle w:val="ListParagraph"/>
              <w:numPr>
                <w:ilvl w:val="0"/>
                <w:numId w:val="2"/>
              </w:numPr>
              <w:ind w:right="596"/>
              <w:rPr>
                <w:rFonts w:ascii="Arial" w:hAnsi="Arial" w:cs="Arial"/>
                <w:sz w:val="20"/>
                <w:szCs w:val="20"/>
              </w:rPr>
            </w:pPr>
            <w:r>
              <w:rPr>
                <w:rFonts w:ascii="Arial" w:hAnsi="Arial" w:cs="Arial"/>
                <w:sz w:val="20"/>
                <w:szCs w:val="20"/>
              </w:rPr>
              <w:t>First year Projects</w:t>
            </w:r>
          </w:p>
          <w:p w:rsidR="00E71993" w:rsidRPr="006A49C3" w:rsidRDefault="00E71993" w:rsidP="00E71993">
            <w:pPr>
              <w:pStyle w:val="ListParagraph"/>
              <w:numPr>
                <w:ilvl w:val="0"/>
                <w:numId w:val="2"/>
              </w:numPr>
              <w:ind w:right="596"/>
              <w:rPr>
                <w:rFonts w:ascii="Arial" w:hAnsi="Arial" w:cs="Arial"/>
                <w:sz w:val="20"/>
                <w:szCs w:val="20"/>
              </w:rPr>
            </w:pPr>
            <w:r>
              <w:rPr>
                <w:rFonts w:ascii="Arial" w:hAnsi="Arial" w:cs="Arial"/>
                <w:sz w:val="20"/>
                <w:szCs w:val="20"/>
              </w:rPr>
              <w:t>Additional Partners</w:t>
            </w:r>
          </w:p>
          <w:p w:rsidR="00E71993" w:rsidRDefault="00E71993" w:rsidP="003F443F">
            <w:pPr>
              <w:ind w:right="596"/>
              <w:rPr>
                <w:rFonts w:ascii="Arial" w:hAnsi="Arial" w:cs="Arial"/>
                <w:sz w:val="20"/>
                <w:szCs w:val="20"/>
              </w:rPr>
            </w:pPr>
          </w:p>
          <w:p w:rsidR="00E93544" w:rsidRDefault="00E71993" w:rsidP="003F443F">
            <w:pPr>
              <w:ind w:right="596"/>
              <w:rPr>
                <w:rFonts w:ascii="Arial" w:hAnsi="Arial" w:cs="Arial"/>
                <w:sz w:val="20"/>
                <w:szCs w:val="20"/>
              </w:rPr>
            </w:pPr>
            <w:r>
              <w:rPr>
                <w:rFonts w:ascii="Arial" w:hAnsi="Arial" w:cs="Arial"/>
                <w:sz w:val="20"/>
                <w:szCs w:val="20"/>
              </w:rPr>
              <w:t>February 18th</w:t>
            </w:r>
          </w:p>
          <w:p w:rsidR="00C54D9A" w:rsidRDefault="00C54D9A" w:rsidP="003F443F">
            <w:pPr>
              <w:ind w:right="596"/>
              <w:rPr>
                <w:rFonts w:ascii="Arial" w:hAnsi="Arial" w:cs="Arial"/>
                <w:sz w:val="20"/>
                <w:szCs w:val="20"/>
              </w:rPr>
            </w:pPr>
            <w:r>
              <w:rPr>
                <w:rFonts w:ascii="Arial" w:hAnsi="Arial" w:cs="Arial"/>
                <w:sz w:val="20"/>
                <w:szCs w:val="20"/>
              </w:rPr>
              <w:t>The board, program manager, C</w:t>
            </w:r>
            <w:r w:rsidR="00BB4A31">
              <w:rPr>
                <w:rFonts w:ascii="Arial" w:hAnsi="Arial" w:cs="Arial"/>
                <w:sz w:val="20"/>
                <w:szCs w:val="20"/>
              </w:rPr>
              <w:t>HSC</w:t>
            </w:r>
            <w:r w:rsidR="003835B9">
              <w:rPr>
                <w:rFonts w:ascii="Arial" w:hAnsi="Arial" w:cs="Arial"/>
                <w:sz w:val="20"/>
                <w:szCs w:val="20"/>
              </w:rPr>
              <w:t xml:space="preserve"> s</w:t>
            </w:r>
            <w:r>
              <w:rPr>
                <w:rFonts w:ascii="Arial" w:hAnsi="Arial" w:cs="Arial"/>
                <w:sz w:val="20"/>
                <w:szCs w:val="20"/>
              </w:rPr>
              <w:t>taff</w:t>
            </w:r>
            <w:r w:rsidR="00BB4A31">
              <w:rPr>
                <w:rFonts w:ascii="Arial" w:hAnsi="Arial" w:cs="Arial"/>
                <w:sz w:val="20"/>
                <w:szCs w:val="20"/>
              </w:rPr>
              <w:t>,</w:t>
            </w:r>
            <w:r>
              <w:rPr>
                <w:rFonts w:ascii="Arial" w:hAnsi="Arial" w:cs="Arial"/>
                <w:sz w:val="20"/>
                <w:szCs w:val="20"/>
              </w:rPr>
              <w:t xml:space="preserve"> and other interested parties met to discuss the following items:</w:t>
            </w:r>
          </w:p>
          <w:p w:rsidR="00C54D9A" w:rsidRDefault="00C54D9A" w:rsidP="003F443F">
            <w:pPr>
              <w:pStyle w:val="ListParagraph"/>
              <w:numPr>
                <w:ilvl w:val="0"/>
                <w:numId w:val="2"/>
              </w:numPr>
              <w:ind w:right="596"/>
              <w:rPr>
                <w:rFonts w:ascii="Arial" w:hAnsi="Arial" w:cs="Arial"/>
                <w:sz w:val="20"/>
                <w:szCs w:val="20"/>
              </w:rPr>
            </w:pPr>
            <w:r>
              <w:rPr>
                <w:rFonts w:ascii="Arial" w:hAnsi="Arial" w:cs="Arial"/>
                <w:sz w:val="20"/>
                <w:szCs w:val="20"/>
              </w:rPr>
              <w:t>TPF Funding Status</w:t>
            </w:r>
            <w:r w:rsidR="003835B9">
              <w:rPr>
                <w:rFonts w:ascii="Arial" w:hAnsi="Arial" w:cs="Arial"/>
                <w:sz w:val="20"/>
                <w:szCs w:val="20"/>
              </w:rPr>
              <w:t xml:space="preserve"> </w:t>
            </w:r>
            <w:r>
              <w:rPr>
                <w:rFonts w:ascii="Arial" w:hAnsi="Arial" w:cs="Arial"/>
                <w:sz w:val="20"/>
                <w:szCs w:val="20"/>
              </w:rPr>
              <w:t>- commitments, funding transfers, plans to commit</w:t>
            </w:r>
            <w:r w:rsidR="007F0369">
              <w:rPr>
                <w:rFonts w:ascii="Arial" w:hAnsi="Arial" w:cs="Arial"/>
                <w:sz w:val="20"/>
                <w:szCs w:val="20"/>
              </w:rPr>
              <w:t>,</w:t>
            </w:r>
            <w:r>
              <w:rPr>
                <w:rFonts w:ascii="Arial" w:hAnsi="Arial" w:cs="Arial"/>
                <w:sz w:val="20"/>
                <w:szCs w:val="20"/>
              </w:rPr>
              <w:t xml:space="preserve"> and confirm board members</w:t>
            </w:r>
            <w:r w:rsidR="007F0369">
              <w:rPr>
                <w:rFonts w:ascii="Arial" w:hAnsi="Arial" w:cs="Arial"/>
                <w:sz w:val="20"/>
                <w:szCs w:val="20"/>
              </w:rPr>
              <w:t>.</w:t>
            </w:r>
          </w:p>
          <w:p w:rsidR="00C54D9A" w:rsidRPr="006A49C3" w:rsidRDefault="00E71993" w:rsidP="003F443F">
            <w:pPr>
              <w:pStyle w:val="ListParagraph"/>
              <w:numPr>
                <w:ilvl w:val="0"/>
                <w:numId w:val="2"/>
              </w:numPr>
              <w:ind w:right="596"/>
              <w:rPr>
                <w:rFonts w:ascii="Arial" w:hAnsi="Arial" w:cs="Arial"/>
                <w:sz w:val="20"/>
                <w:szCs w:val="20"/>
              </w:rPr>
            </w:pPr>
            <w:r>
              <w:rPr>
                <w:rFonts w:ascii="Arial" w:hAnsi="Arial" w:cs="Arial"/>
                <w:sz w:val="20"/>
                <w:szCs w:val="20"/>
              </w:rPr>
              <w:t>Recap TRB Meeting</w:t>
            </w:r>
          </w:p>
          <w:p w:rsidR="00C54D9A" w:rsidRPr="006A49C3" w:rsidRDefault="00E71993" w:rsidP="003F443F">
            <w:pPr>
              <w:pStyle w:val="ListParagraph"/>
              <w:numPr>
                <w:ilvl w:val="0"/>
                <w:numId w:val="2"/>
              </w:numPr>
              <w:ind w:right="596"/>
              <w:rPr>
                <w:rFonts w:ascii="Arial" w:hAnsi="Arial" w:cs="Arial"/>
                <w:sz w:val="20"/>
                <w:szCs w:val="20"/>
              </w:rPr>
            </w:pPr>
            <w:r>
              <w:rPr>
                <w:rFonts w:ascii="Arial" w:hAnsi="Arial" w:cs="Arial"/>
                <w:sz w:val="20"/>
                <w:szCs w:val="20"/>
              </w:rPr>
              <w:t>Related efforts</w:t>
            </w:r>
          </w:p>
          <w:p w:rsidR="00C54D9A" w:rsidRPr="006A49C3" w:rsidRDefault="00E71993" w:rsidP="003F443F">
            <w:pPr>
              <w:pStyle w:val="ListParagraph"/>
              <w:numPr>
                <w:ilvl w:val="0"/>
                <w:numId w:val="2"/>
              </w:numPr>
              <w:ind w:right="596"/>
              <w:rPr>
                <w:rFonts w:ascii="Arial" w:hAnsi="Arial" w:cs="Arial"/>
                <w:sz w:val="20"/>
                <w:szCs w:val="20"/>
              </w:rPr>
            </w:pPr>
            <w:r>
              <w:rPr>
                <w:rFonts w:ascii="Arial" w:hAnsi="Arial" w:cs="Arial"/>
                <w:sz w:val="20"/>
                <w:szCs w:val="20"/>
              </w:rPr>
              <w:t>Discussion and Vote on Proposed First Year Projects</w:t>
            </w:r>
            <w:r w:rsidR="000E21E3">
              <w:rPr>
                <w:rFonts w:ascii="Arial" w:hAnsi="Arial" w:cs="Arial"/>
                <w:sz w:val="20"/>
                <w:szCs w:val="20"/>
              </w:rPr>
              <w:t>- T</w:t>
            </w:r>
            <w:r w:rsidR="009C0FAF">
              <w:rPr>
                <w:rFonts w:ascii="Arial" w:hAnsi="Arial" w:cs="Arial"/>
                <w:sz w:val="20"/>
                <w:szCs w:val="20"/>
              </w:rPr>
              <w:t>he vote did not take place on the call.  The</w:t>
            </w:r>
            <w:r w:rsidR="00843F69">
              <w:rPr>
                <w:rFonts w:ascii="Arial" w:hAnsi="Arial" w:cs="Arial"/>
                <w:sz w:val="20"/>
                <w:szCs w:val="20"/>
              </w:rPr>
              <w:t xml:space="preserve"> </w:t>
            </w:r>
            <w:r w:rsidR="009C0FAF">
              <w:rPr>
                <w:rFonts w:ascii="Arial" w:hAnsi="Arial" w:cs="Arial"/>
                <w:sz w:val="20"/>
                <w:szCs w:val="20"/>
              </w:rPr>
              <w:t>project manager wanted to have a private meeting with the board to determine if the Center should provide the formal proposals for each projects</w:t>
            </w:r>
            <w:r w:rsidR="00843F69">
              <w:rPr>
                <w:rFonts w:ascii="Arial" w:hAnsi="Arial" w:cs="Arial"/>
                <w:sz w:val="20"/>
                <w:szCs w:val="20"/>
              </w:rPr>
              <w:t xml:space="preserve">.  It was determined that the pooled fund would be able to start both projects in the first year. </w:t>
            </w:r>
          </w:p>
          <w:p w:rsidR="00331212" w:rsidRDefault="00843F69" w:rsidP="003F443F">
            <w:pPr>
              <w:pStyle w:val="ListParagraph"/>
              <w:numPr>
                <w:ilvl w:val="0"/>
                <w:numId w:val="2"/>
              </w:numPr>
              <w:ind w:right="596"/>
              <w:rPr>
                <w:rFonts w:ascii="Arial" w:hAnsi="Arial" w:cs="Arial"/>
                <w:sz w:val="20"/>
                <w:szCs w:val="20"/>
              </w:rPr>
            </w:pPr>
            <w:r>
              <w:rPr>
                <w:rFonts w:ascii="Arial" w:hAnsi="Arial" w:cs="Arial"/>
                <w:sz w:val="20"/>
                <w:szCs w:val="20"/>
              </w:rPr>
              <w:t>Reminded participants about the r</w:t>
            </w:r>
            <w:r w:rsidR="00E71993">
              <w:rPr>
                <w:rFonts w:ascii="Arial" w:hAnsi="Arial" w:cs="Arial"/>
                <w:sz w:val="20"/>
                <w:szCs w:val="20"/>
              </w:rPr>
              <w:t>ecurring</w:t>
            </w:r>
            <w:r w:rsidR="00C54D9A" w:rsidRPr="006A49C3">
              <w:rPr>
                <w:rFonts w:ascii="Arial" w:hAnsi="Arial" w:cs="Arial"/>
                <w:sz w:val="20"/>
                <w:szCs w:val="20"/>
              </w:rPr>
              <w:t xml:space="preserve"> quarterly </w:t>
            </w:r>
            <w:r>
              <w:rPr>
                <w:rFonts w:ascii="Arial" w:hAnsi="Arial" w:cs="Arial"/>
                <w:sz w:val="20"/>
                <w:szCs w:val="20"/>
              </w:rPr>
              <w:t>meeting s</w:t>
            </w:r>
            <w:r w:rsidR="00331212" w:rsidRPr="006A49C3">
              <w:rPr>
                <w:rFonts w:ascii="Arial" w:hAnsi="Arial" w:cs="Arial"/>
                <w:sz w:val="20"/>
                <w:szCs w:val="20"/>
              </w:rPr>
              <w:t>chedule</w:t>
            </w:r>
            <w:r w:rsidR="00BB4A31" w:rsidRPr="006A49C3">
              <w:rPr>
                <w:rFonts w:ascii="Arial" w:hAnsi="Arial" w:cs="Arial"/>
                <w:sz w:val="20"/>
                <w:szCs w:val="20"/>
              </w:rPr>
              <w:t xml:space="preserve"> </w:t>
            </w:r>
            <w:r>
              <w:rPr>
                <w:rFonts w:ascii="Arial" w:hAnsi="Arial" w:cs="Arial"/>
                <w:sz w:val="20"/>
                <w:szCs w:val="20"/>
              </w:rPr>
              <w:t>on</w:t>
            </w:r>
            <w:r w:rsidR="00BB4A31" w:rsidRPr="006A49C3">
              <w:rPr>
                <w:rFonts w:ascii="Arial" w:hAnsi="Arial" w:cs="Arial"/>
                <w:sz w:val="20"/>
                <w:szCs w:val="20"/>
              </w:rPr>
              <w:t xml:space="preserve"> </w:t>
            </w:r>
            <w:r w:rsidR="007F0369" w:rsidRPr="006A49C3">
              <w:rPr>
                <w:rFonts w:ascii="Arial" w:hAnsi="Arial" w:cs="Arial"/>
                <w:sz w:val="20"/>
                <w:szCs w:val="20"/>
              </w:rPr>
              <w:t xml:space="preserve">the third Wednesday, quarterly (February, May, August, and November) from 12-2 pm </w:t>
            </w:r>
            <w:r w:rsidR="00A80BD8" w:rsidRPr="006A49C3">
              <w:rPr>
                <w:rFonts w:ascii="Arial" w:hAnsi="Arial" w:cs="Arial"/>
                <w:sz w:val="20"/>
                <w:szCs w:val="20"/>
              </w:rPr>
              <w:t>Mountain</w:t>
            </w:r>
            <w:r w:rsidR="007F0369" w:rsidRPr="006A49C3">
              <w:rPr>
                <w:rFonts w:ascii="Arial" w:hAnsi="Arial" w:cs="Arial"/>
                <w:sz w:val="20"/>
                <w:szCs w:val="20"/>
              </w:rPr>
              <w:t>.</w:t>
            </w:r>
          </w:p>
          <w:p w:rsidR="00843F69" w:rsidRDefault="00843F69" w:rsidP="003F443F">
            <w:pPr>
              <w:pStyle w:val="ListParagraph"/>
              <w:numPr>
                <w:ilvl w:val="0"/>
                <w:numId w:val="2"/>
              </w:numPr>
              <w:ind w:right="596"/>
              <w:rPr>
                <w:rFonts w:ascii="Arial" w:hAnsi="Arial" w:cs="Arial"/>
                <w:sz w:val="20"/>
                <w:szCs w:val="20"/>
              </w:rPr>
            </w:pPr>
            <w:r>
              <w:rPr>
                <w:rFonts w:ascii="Arial" w:hAnsi="Arial" w:cs="Arial"/>
                <w:sz w:val="20"/>
                <w:szCs w:val="20"/>
              </w:rPr>
              <w:t>Discussed In person meeting locations and date- the board is interested in coordinating the time of the meeting with the survey development of the two projects.</w:t>
            </w:r>
          </w:p>
          <w:p w:rsidR="00E71993" w:rsidRPr="006A49C3" w:rsidRDefault="009C0FAF" w:rsidP="003F443F">
            <w:pPr>
              <w:pStyle w:val="ListParagraph"/>
              <w:numPr>
                <w:ilvl w:val="0"/>
                <w:numId w:val="2"/>
              </w:numPr>
              <w:ind w:right="596"/>
              <w:rPr>
                <w:rFonts w:ascii="Arial" w:hAnsi="Arial" w:cs="Arial"/>
                <w:sz w:val="20"/>
                <w:szCs w:val="20"/>
              </w:rPr>
            </w:pPr>
            <w:r>
              <w:rPr>
                <w:rFonts w:ascii="Arial" w:hAnsi="Arial" w:cs="Arial"/>
                <w:sz w:val="20"/>
                <w:szCs w:val="20"/>
              </w:rPr>
              <w:t>Next Steps</w:t>
            </w:r>
            <w:r w:rsidR="00843F69">
              <w:rPr>
                <w:rFonts w:ascii="Arial" w:hAnsi="Arial" w:cs="Arial"/>
                <w:sz w:val="20"/>
                <w:szCs w:val="20"/>
              </w:rPr>
              <w:t>- Board will meet to vote on first year projects</w:t>
            </w:r>
          </w:p>
          <w:p w:rsidR="006A49C3" w:rsidRDefault="006A49C3" w:rsidP="003F443F">
            <w:pPr>
              <w:ind w:right="596"/>
              <w:rPr>
                <w:rFonts w:ascii="Arial" w:hAnsi="Arial" w:cs="Arial"/>
                <w:sz w:val="20"/>
                <w:szCs w:val="20"/>
              </w:rPr>
            </w:pPr>
          </w:p>
          <w:p w:rsidR="00331212" w:rsidRDefault="00331212" w:rsidP="003F443F">
            <w:pPr>
              <w:ind w:right="596"/>
              <w:rPr>
                <w:rFonts w:ascii="Arial" w:hAnsi="Arial" w:cs="Arial"/>
                <w:sz w:val="20"/>
                <w:szCs w:val="20"/>
              </w:rPr>
            </w:pPr>
            <w:r>
              <w:rPr>
                <w:rFonts w:ascii="Arial" w:hAnsi="Arial" w:cs="Arial"/>
                <w:sz w:val="20"/>
                <w:szCs w:val="20"/>
              </w:rPr>
              <w:t>The meeting minutes were compiled by C</w:t>
            </w:r>
            <w:r w:rsidR="007F0369">
              <w:rPr>
                <w:rFonts w:ascii="Arial" w:hAnsi="Arial" w:cs="Arial"/>
                <w:sz w:val="20"/>
                <w:szCs w:val="20"/>
              </w:rPr>
              <w:t>HSC</w:t>
            </w:r>
            <w:r>
              <w:rPr>
                <w:rFonts w:ascii="Arial" w:hAnsi="Arial" w:cs="Arial"/>
                <w:sz w:val="20"/>
                <w:szCs w:val="20"/>
              </w:rPr>
              <w:t xml:space="preserve"> staff and </w:t>
            </w:r>
            <w:r w:rsidR="007F0369">
              <w:rPr>
                <w:rFonts w:ascii="Arial" w:hAnsi="Arial" w:cs="Arial"/>
                <w:sz w:val="20"/>
                <w:szCs w:val="20"/>
              </w:rPr>
              <w:t>submitte</w:t>
            </w:r>
            <w:r>
              <w:rPr>
                <w:rFonts w:ascii="Arial" w:hAnsi="Arial" w:cs="Arial"/>
                <w:sz w:val="20"/>
                <w:szCs w:val="20"/>
              </w:rPr>
              <w:t>d to MDT for approval. These were then shared with participants at the meeting.</w:t>
            </w:r>
          </w:p>
          <w:p w:rsidR="00331212" w:rsidRPr="00331212" w:rsidRDefault="00331212" w:rsidP="003F443F">
            <w:pPr>
              <w:ind w:right="596"/>
              <w:rPr>
                <w:rFonts w:ascii="Arial" w:hAnsi="Arial" w:cs="Arial"/>
                <w:sz w:val="20"/>
                <w:szCs w:val="20"/>
              </w:rPr>
            </w:pPr>
          </w:p>
          <w:p w:rsidR="00331212" w:rsidRPr="00331212" w:rsidRDefault="00331212" w:rsidP="003F443F">
            <w:pPr>
              <w:ind w:right="596"/>
              <w:rPr>
                <w:rFonts w:ascii="Arial" w:hAnsi="Arial" w:cs="Arial"/>
                <w:sz w:val="20"/>
                <w:szCs w:val="20"/>
                <w:u w:val="single"/>
              </w:rPr>
            </w:pPr>
            <w:r w:rsidRPr="00331212">
              <w:rPr>
                <w:rFonts w:ascii="Arial" w:hAnsi="Arial" w:cs="Arial"/>
                <w:sz w:val="20"/>
                <w:szCs w:val="20"/>
                <w:u w:val="single"/>
              </w:rPr>
              <w:t>Board Activities</w:t>
            </w:r>
          </w:p>
          <w:p w:rsidR="00E93544" w:rsidRDefault="00E93544" w:rsidP="003F443F">
            <w:pPr>
              <w:ind w:right="596"/>
              <w:rPr>
                <w:rFonts w:ascii="Arial" w:hAnsi="Arial" w:cs="Arial"/>
                <w:sz w:val="20"/>
                <w:szCs w:val="20"/>
              </w:rPr>
            </w:pPr>
          </w:p>
          <w:p w:rsidR="00E93544" w:rsidRDefault="00E71993" w:rsidP="003F443F">
            <w:pPr>
              <w:pStyle w:val="ListParagraph"/>
              <w:numPr>
                <w:ilvl w:val="0"/>
                <w:numId w:val="3"/>
              </w:numPr>
              <w:ind w:right="596"/>
              <w:rPr>
                <w:rFonts w:ascii="Arial" w:hAnsi="Arial" w:cs="Arial"/>
                <w:sz w:val="20"/>
                <w:szCs w:val="20"/>
              </w:rPr>
            </w:pPr>
            <w:r>
              <w:rPr>
                <w:rFonts w:ascii="Arial" w:hAnsi="Arial" w:cs="Arial"/>
                <w:sz w:val="20"/>
                <w:szCs w:val="20"/>
              </w:rPr>
              <w:t>Approved November and January Meeting Notes during February meeting</w:t>
            </w:r>
          </w:p>
          <w:p w:rsidR="00331212" w:rsidRDefault="008E2183" w:rsidP="003F443F">
            <w:pPr>
              <w:pStyle w:val="ListParagraph"/>
              <w:numPr>
                <w:ilvl w:val="0"/>
                <w:numId w:val="3"/>
              </w:numPr>
              <w:ind w:right="596"/>
              <w:rPr>
                <w:rFonts w:ascii="Arial" w:hAnsi="Arial" w:cs="Arial"/>
                <w:sz w:val="20"/>
                <w:szCs w:val="20"/>
              </w:rPr>
            </w:pPr>
            <w:r>
              <w:rPr>
                <w:rFonts w:ascii="Arial" w:hAnsi="Arial" w:cs="Arial"/>
                <w:sz w:val="20"/>
                <w:szCs w:val="20"/>
              </w:rPr>
              <w:t xml:space="preserve">Approved </w:t>
            </w:r>
            <w:r w:rsidR="00E71993">
              <w:rPr>
                <w:rFonts w:ascii="Arial" w:hAnsi="Arial" w:cs="Arial"/>
                <w:sz w:val="20"/>
                <w:szCs w:val="20"/>
              </w:rPr>
              <w:t>Cannabis and Engagem</w:t>
            </w:r>
            <w:r w:rsidR="001C4436">
              <w:rPr>
                <w:rFonts w:ascii="Arial" w:hAnsi="Arial" w:cs="Arial"/>
                <w:sz w:val="20"/>
                <w:szCs w:val="20"/>
              </w:rPr>
              <w:t>ent Projects in private meeting, WTI must submit a formal proposal to Board and MDT</w:t>
            </w:r>
            <w:r w:rsidR="00E71993">
              <w:rPr>
                <w:rFonts w:ascii="Arial" w:hAnsi="Arial" w:cs="Arial"/>
                <w:sz w:val="20"/>
                <w:szCs w:val="20"/>
              </w:rPr>
              <w:t xml:space="preserve"> </w:t>
            </w:r>
          </w:p>
          <w:p w:rsidR="002914C0" w:rsidRDefault="002914C0" w:rsidP="003F443F">
            <w:pPr>
              <w:ind w:right="596"/>
              <w:rPr>
                <w:rFonts w:ascii="Arial" w:hAnsi="Arial" w:cs="Arial"/>
                <w:sz w:val="20"/>
                <w:szCs w:val="20"/>
              </w:rPr>
            </w:pPr>
          </w:p>
          <w:p w:rsidR="00331212" w:rsidRDefault="00331212" w:rsidP="003F443F">
            <w:pPr>
              <w:ind w:right="596"/>
              <w:rPr>
                <w:rFonts w:ascii="Arial" w:hAnsi="Arial" w:cs="Arial"/>
                <w:sz w:val="20"/>
                <w:szCs w:val="20"/>
                <w:u w:val="single"/>
              </w:rPr>
            </w:pPr>
            <w:r>
              <w:rPr>
                <w:rFonts w:ascii="Arial" w:hAnsi="Arial" w:cs="Arial"/>
                <w:sz w:val="20"/>
                <w:szCs w:val="20"/>
                <w:u w:val="single"/>
              </w:rPr>
              <w:t>Program Fund Updates</w:t>
            </w:r>
          </w:p>
          <w:p w:rsidR="009764BF" w:rsidRPr="008E2183" w:rsidRDefault="008E2183" w:rsidP="003F443F">
            <w:pPr>
              <w:ind w:right="596"/>
              <w:rPr>
                <w:rFonts w:ascii="Arial" w:hAnsi="Arial" w:cs="Arial"/>
                <w:sz w:val="20"/>
                <w:szCs w:val="20"/>
              </w:rPr>
            </w:pPr>
            <w:r w:rsidRPr="008E2183">
              <w:rPr>
                <w:rFonts w:ascii="Arial" w:hAnsi="Arial" w:cs="Arial"/>
                <w:sz w:val="20"/>
                <w:szCs w:val="20"/>
              </w:rPr>
              <w:t xml:space="preserve">As of </w:t>
            </w:r>
            <w:r w:rsidR="001C4436">
              <w:rPr>
                <w:rFonts w:ascii="Arial" w:hAnsi="Arial" w:cs="Arial"/>
                <w:sz w:val="20"/>
                <w:szCs w:val="20"/>
              </w:rPr>
              <w:t>March</w:t>
            </w:r>
            <w:r w:rsidRPr="008E2183">
              <w:rPr>
                <w:rFonts w:ascii="Arial" w:hAnsi="Arial" w:cs="Arial"/>
                <w:sz w:val="20"/>
                <w:szCs w:val="20"/>
              </w:rPr>
              <w:t xml:space="preserve"> 31</w:t>
            </w:r>
            <w:r w:rsidRPr="008E2183">
              <w:rPr>
                <w:rFonts w:ascii="Arial" w:hAnsi="Arial" w:cs="Arial"/>
                <w:sz w:val="20"/>
                <w:szCs w:val="20"/>
                <w:vertAlign w:val="superscript"/>
              </w:rPr>
              <w:t>st</w:t>
            </w:r>
            <w:r w:rsidRPr="008E2183">
              <w:rPr>
                <w:rFonts w:ascii="Arial" w:hAnsi="Arial" w:cs="Arial"/>
                <w:sz w:val="20"/>
                <w:szCs w:val="20"/>
              </w:rPr>
              <w:t xml:space="preserve">, </w:t>
            </w:r>
            <w:r>
              <w:rPr>
                <w:rFonts w:ascii="Arial" w:hAnsi="Arial" w:cs="Arial"/>
                <w:sz w:val="20"/>
                <w:szCs w:val="20"/>
              </w:rPr>
              <w:t xml:space="preserve">there are 9 participating </w:t>
            </w:r>
            <w:r w:rsidR="00AE41CD">
              <w:rPr>
                <w:rFonts w:ascii="Arial" w:hAnsi="Arial" w:cs="Arial"/>
                <w:sz w:val="20"/>
                <w:szCs w:val="20"/>
              </w:rPr>
              <w:t xml:space="preserve">states in the TPF program. </w:t>
            </w:r>
            <w:r>
              <w:rPr>
                <w:rFonts w:ascii="Arial" w:hAnsi="Arial" w:cs="Arial"/>
                <w:sz w:val="20"/>
                <w:szCs w:val="20"/>
              </w:rPr>
              <w:t>They are CT, IA, ID, LA, MT, NH, TX, UT, and</w:t>
            </w:r>
            <w:r w:rsidR="006A49C3">
              <w:rPr>
                <w:rFonts w:ascii="Arial" w:hAnsi="Arial" w:cs="Arial"/>
                <w:sz w:val="20"/>
                <w:szCs w:val="20"/>
              </w:rPr>
              <w:t xml:space="preserve"> </w:t>
            </w:r>
            <w:r w:rsidR="00AE41CD">
              <w:rPr>
                <w:rFonts w:ascii="Arial" w:hAnsi="Arial" w:cs="Arial"/>
                <w:sz w:val="20"/>
                <w:szCs w:val="20"/>
              </w:rPr>
              <w:t xml:space="preserve">WA. </w:t>
            </w:r>
            <w:r>
              <w:rPr>
                <w:rFonts w:ascii="Arial" w:hAnsi="Arial" w:cs="Arial"/>
                <w:sz w:val="20"/>
                <w:szCs w:val="20"/>
              </w:rPr>
              <w:t xml:space="preserve">These 9 states have </w:t>
            </w:r>
            <w:r w:rsidR="009764BF">
              <w:rPr>
                <w:rFonts w:ascii="Arial" w:hAnsi="Arial" w:cs="Arial"/>
                <w:sz w:val="20"/>
                <w:szCs w:val="20"/>
              </w:rPr>
              <w:t>committed</w:t>
            </w:r>
            <w:r>
              <w:rPr>
                <w:rFonts w:ascii="Arial" w:hAnsi="Arial" w:cs="Arial"/>
                <w:sz w:val="20"/>
                <w:szCs w:val="20"/>
              </w:rPr>
              <w:t xml:space="preserve"> $975,000.00 in funds over a five year period</w:t>
            </w:r>
            <w:r w:rsidR="00AE41CD">
              <w:rPr>
                <w:rFonts w:ascii="Arial" w:hAnsi="Arial" w:cs="Arial"/>
                <w:sz w:val="20"/>
                <w:szCs w:val="20"/>
              </w:rPr>
              <w:t>.</w:t>
            </w:r>
            <w:r w:rsidR="009764BF">
              <w:rPr>
                <w:rFonts w:ascii="Arial" w:hAnsi="Arial" w:cs="Arial"/>
                <w:sz w:val="20"/>
                <w:szCs w:val="20"/>
              </w:rPr>
              <w:t xml:space="preserve"> The commitments by organization can</w:t>
            </w:r>
            <w:r w:rsidR="006A49C3">
              <w:rPr>
                <w:rFonts w:ascii="Arial" w:hAnsi="Arial" w:cs="Arial"/>
                <w:sz w:val="20"/>
                <w:szCs w:val="20"/>
              </w:rPr>
              <w:t xml:space="preserve"> </w:t>
            </w:r>
            <w:r w:rsidR="009764BF">
              <w:rPr>
                <w:rFonts w:ascii="Arial" w:hAnsi="Arial" w:cs="Arial"/>
                <w:sz w:val="20"/>
                <w:szCs w:val="20"/>
              </w:rPr>
              <w:t xml:space="preserve">be found </w:t>
            </w:r>
            <w:r w:rsidR="009764BF" w:rsidRPr="00843F69">
              <w:rPr>
                <w:rFonts w:ascii="Arial" w:hAnsi="Arial" w:cs="Arial"/>
                <w:sz w:val="20"/>
                <w:szCs w:val="20"/>
              </w:rPr>
              <w:t xml:space="preserve">at </w:t>
            </w:r>
            <w:hyperlink r:id="rId9" w:history="1">
              <w:r w:rsidR="00AE41CD" w:rsidRPr="00843F69">
                <w:rPr>
                  <w:rStyle w:val="Hyperlink"/>
                  <w:rFonts w:ascii="Arial" w:hAnsi="Arial" w:cs="Arial"/>
                  <w:sz w:val="20"/>
                  <w:szCs w:val="20"/>
                </w:rPr>
                <w:t>http://www.pooledfund.org/Details/Study/558</w:t>
              </w:r>
            </w:hyperlink>
            <w:r w:rsidR="00AE41CD" w:rsidRPr="00843F69">
              <w:rPr>
                <w:rFonts w:ascii="Arial" w:hAnsi="Arial" w:cs="Arial"/>
                <w:sz w:val="20"/>
                <w:szCs w:val="20"/>
              </w:rPr>
              <w:t>.</w:t>
            </w:r>
            <w:r w:rsidR="00843F69" w:rsidRPr="00843F69">
              <w:rPr>
                <w:rFonts w:ascii="Arial" w:hAnsi="Arial" w:cs="Arial"/>
                <w:sz w:val="20"/>
                <w:szCs w:val="20"/>
              </w:rPr>
              <w:t xml:space="preserve"> CA is interested in participating in the fund but has not made an official commitment.</w:t>
            </w:r>
          </w:p>
          <w:p w:rsidR="00331212" w:rsidRDefault="00331212" w:rsidP="003F443F">
            <w:pPr>
              <w:ind w:right="596"/>
              <w:rPr>
                <w:rFonts w:ascii="Arial" w:hAnsi="Arial" w:cs="Arial"/>
                <w:sz w:val="20"/>
                <w:szCs w:val="20"/>
                <w:u w:val="single"/>
              </w:rPr>
            </w:pPr>
          </w:p>
          <w:p w:rsidR="009C0FAF" w:rsidRPr="00C54D9A" w:rsidRDefault="009C0FAF" w:rsidP="009C0FAF">
            <w:pPr>
              <w:ind w:right="596"/>
              <w:rPr>
                <w:rFonts w:ascii="Arial" w:hAnsi="Arial" w:cs="Arial"/>
                <w:sz w:val="20"/>
                <w:szCs w:val="20"/>
                <w:u w:val="single"/>
              </w:rPr>
            </w:pPr>
            <w:r w:rsidRPr="00C54D9A">
              <w:rPr>
                <w:rFonts w:ascii="Arial" w:hAnsi="Arial" w:cs="Arial"/>
                <w:sz w:val="20"/>
                <w:szCs w:val="20"/>
                <w:u w:val="single"/>
              </w:rPr>
              <w:t>Contract Status</w:t>
            </w:r>
          </w:p>
          <w:p w:rsidR="009C0FAF" w:rsidRDefault="009C0FAF" w:rsidP="009C0FAF">
            <w:pPr>
              <w:ind w:right="596"/>
              <w:rPr>
                <w:rFonts w:ascii="Arial" w:hAnsi="Arial" w:cs="Arial"/>
                <w:sz w:val="20"/>
                <w:szCs w:val="20"/>
              </w:rPr>
            </w:pPr>
          </w:p>
          <w:p w:rsidR="009C0FAF" w:rsidRPr="009764BF" w:rsidRDefault="009C0FAF" w:rsidP="009C0FAF">
            <w:pPr>
              <w:ind w:right="596"/>
              <w:rPr>
                <w:rFonts w:ascii="Arial" w:hAnsi="Arial" w:cs="Arial"/>
                <w:i/>
                <w:sz w:val="20"/>
                <w:szCs w:val="20"/>
              </w:rPr>
            </w:pPr>
            <w:r w:rsidRPr="009764BF">
              <w:rPr>
                <w:rFonts w:ascii="Arial" w:hAnsi="Arial" w:cs="Arial"/>
                <w:i/>
                <w:sz w:val="20"/>
                <w:szCs w:val="20"/>
              </w:rPr>
              <w:t>Program Support Contract 8882-309</w:t>
            </w:r>
            <w:r>
              <w:rPr>
                <w:rFonts w:ascii="Arial" w:hAnsi="Arial" w:cs="Arial"/>
                <w:i/>
                <w:sz w:val="20"/>
                <w:szCs w:val="20"/>
              </w:rPr>
              <w:t>-01</w:t>
            </w:r>
          </w:p>
          <w:p w:rsidR="00A86798" w:rsidRPr="001C4436" w:rsidRDefault="00A86798" w:rsidP="003F443F">
            <w:pPr>
              <w:ind w:right="596"/>
              <w:rPr>
                <w:rFonts w:ascii="Arial" w:hAnsi="Arial" w:cs="Arial"/>
                <w:sz w:val="20"/>
                <w:szCs w:val="20"/>
              </w:rPr>
            </w:pPr>
            <w:r w:rsidRPr="001C4436">
              <w:rPr>
                <w:rFonts w:ascii="Arial" w:hAnsi="Arial" w:cs="Arial"/>
                <w:sz w:val="20"/>
                <w:szCs w:val="20"/>
              </w:rPr>
              <w:t xml:space="preserve">The support contract was </w:t>
            </w:r>
            <w:r w:rsidR="001C4436" w:rsidRPr="001C4436">
              <w:rPr>
                <w:rFonts w:ascii="Arial" w:hAnsi="Arial" w:cs="Arial"/>
                <w:sz w:val="20"/>
                <w:szCs w:val="20"/>
              </w:rPr>
              <w:t>amended to include payment for Nic Ward to attend Towards Zero Conference 2015 in Gothenburg, Sweden.  The agreement is to pay for half of the total cost up to $1875</w:t>
            </w:r>
            <w:r w:rsidR="00843F69">
              <w:rPr>
                <w:rFonts w:ascii="Arial" w:hAnsi="Arial" w:cs="Arial"/>
                <w:sz w:val="20"/>
                <w:szCs w:val="20"/>
              </w:rPr>
              <w:t xml:space="preserve"> plus IDCs</w:t>
            </w:r>
            <w:r w:rsidR="001C4436" w:rsidRPr="001C4436">
              <w:rPr>
                <w:rFonts w:ascii="Arial" w:hAnsi="Arial" w:cs="Arial"/>
                <w:sz w:val="20"/>
                <w:szCs w:val="20"/>
              </w:rPr>
              <w:t>.</w:t>
            </w:r>
            <w:r w:rsidR="001C4436">
              <w:rPr>
                <w:rFonts w:ascii="Arial" w:hAnsi="Arial" w:cs="Arial"/>
                <w:sz w:val="20"/>
                <w:szCs w:val="20"/>
              </w:rPr>
              <w:t xml:space="preserve"> This amendment brings the total cost of the contract to </w:t>
            </w:r>
            <w:r w:rsidR="00843F69">
              <w:rPr>
                <w:rFonts w:ascii="Arial" w:hAnsi="Arial" w:cs="Arial"/>
                <w:sz w:val="20"/>
                <w:szCs w:val="20"/>
              </w:rPr>
              <w:t>$66,949.</w:t>
            </w:r>
          </w:p>
          <w:p w:rsidR="00601EBD" w:rsidRPr="009C0FAF" w:rsidRDefault="00601EBD" w:rsidP="003F443F">
            <w:pPr>
              <w:ind w:right="596"/>
              <w:rPr>
                <w:rFonts w:ascii="Arial" w:hAnsi="Arial" w:cs="Arial"/>
                <w:sz w:val="20"/>
                <w:szCs w:val="20"/>
              </w:rPr>
            </w:pPr>
          </w:p>
          <w:p w:rsidR="009764BF" w:rsidRDefault="009C0FAF" w:rsidP="003F443F">
            <w:pPr>
              <w:ind w:right="596"/>
              <w:rPr>
                <w:rFonts w:ascii="Arial" w:hAnsi="Arial" w:cs="Arial"/>
                <w:sz w:val="20"/>
                <w:szCs w:val="20"/>
              </w:rPr>
            </w:pPr>
            <w:r>
              <w:rPr>
                <w:rFonts w:ascii="Arial" w:hAnsi="Arial" w:cs="Arial"/>
                <w:sz w:val="20"/>
                <w:szCs w:val="20"/>
              </w:rPr>
              <w:t>As part of this contract</w:t>
            </w:r>
            <w:r w:rsidR="00331212" w:rsidRPr="009C0FAF">
              <w:rPr>
                <w:rFonts w:ascii="Arial" w:hAnsi="Arial" w:cs="Arial"/>
                <w:sz w:val="20"/>
                <w:szCs w:val="20"/>
              </w:rPr>
              <w:t>, the Center</w:t>
            </w:r>
            <w:r w:rsidRPr="009C0FAF">
              <w:rPr>
                <w:rFonts w:ascii="Arial" w:hAnsi="Arial" w:cs="Arial"/>
                <w:sz w:val="20"/>
                <w:szCs w:val="20"/>
              </w:rPr>
              <w:t xml:space="preserve"> for Health and Safety</w:t>
            </w:r>
            <w:r w:rsidR="00331212" w:rsidRPr="009C0FAF">
              <w:rPr>
                <w:rFonts w:ascii="Arial" w:hAnsi="Arial" w:cs="Arial"/>
                <w:sz w:val="20"/>
                <w:szCs w:val="20"/>
              </w:rPr>
              <w:t xml:space="preserve"> staff</w:t>
            </w:r>
            <w:r>
              <w:rPr>
                <w:rFonts w:ascii="Arial" w:hAnsi="Arial" w:cs="Arial"/>
                <w:sz w:val="20"/>
                <w:szCs w:val="20"/>
              </w:rPr>
              <w:t xml:space="preserve"> completed</w:t>
            </w:r>
            <w:r w:rsidR="00331212" w:rsidRPr="009C0FAF">
              <w:rPr>
                <w:rFonts w:ascii="Arial" w:hAnsi="Arial" w:cs="Arial"/>
                <w:sz w:val="20"/>
                <w:szCs w:val="20"/>
              </w:rPr>
              <w:t xml:space="preserve"> more detailed scope</w:t>
            </w:r>
            <w:r>
              <w:rPr>
                <w:rFonts w:ascii="Arial" w:hAnsi="Arial" w:cs="Arial"/>
                <w:sz w:val="20"/>
                <w:szCs w:val="20"/>
              </w:rPr>
              <w:t>s</w:t>
            </w:r>
            <w:r w:rsidR="00331212" w:rsidRPr="009C0FAF">
              <w:rPr>
                <w:rFonts w:ascii="Arial" w:hAnsi="Arial" w:cs="Arial"/>
                <w:sz w:val="20"/>
                <w:szCs w:val="20"/>
              </w:rPr>
              <w:t xml:space="preserve"> of work for two of the proposed projects, </w:t>
            </w:r>
            <w:r w:rsidR="008E2183" w:rsidRPr="009C0FAF">
              <w:rPr>
                <w:rFonts w:ascii="Arial" w:hAnsi="Arial" w:cs="Arial"/>
                <w:sz w:val="20"/>
                <w:szCs w:val="20"/>
              </w:rPr>
              <w:t>Cannabis</w:t>
            </w:r>
            <w:r w:rsidR="00331212" w:rsidRPr="009C0FAF">
              <w:rPr>
                <w:rFonts w:ascii="Arial" w:hAnsi="Arial" w:cs="Arial"/>
                <w:sz w:val="20"/>
                <w:szCs w:val="20"/>
              </w:rPr>
              <w:t xml:space="preserve"> </w:t>
            </w:r>
            <w:r w:rsidR="00AE41CD" w:rsidRPr="009C0FAF">
              <w:rPr>
                <w:rFonts w:ascii="Arial" w:hAnsi="Arial" w:cs="Arial"/>
                <w:sz w:val="20"/>
                <w:szCs w:val="20"/>
              </w:rPr>
              <w:t>C</w:t>
            </w:r>
            <w:r w:rsidR="00331212" w:rsidRPr="009C0FAF">
              <w:rPr>
                <w:rFonts w:ascii="Arial" w:hAnsi="Arial" w:cs="Arial"/>
                <w:sz w:val="20"/>
                <w:szCs w:val="20"/>
              </w:rPr>
              <w:t xml:space="preserve">ulture and Engagement in Traffic Safety. These project </w:t>
            </w:r>
            <w:r w:rsidR="008E2183" w:rsidRPr="009C0FAF">
              <w:rPr>
                <w:rFonts w:ascii="Arial" w:hAnsi="Arial" w:cs="Arial"/>
                <w:sz w:val="20"/>
                <w:szCs w:val="20"/>
              </w:rPr>
              <w:t>proposals were shared with the program manager and</w:t>
            </w:r>
            <w:r w:rsidR="006A49C3" w:rsidRPr="009C0FAF">
              <w:rPr>
                <w:rFonts w:ascii="Arial" w:hAnsi="Arial" w:cs="Arial"/>
                <w:sz w:val="20"/>
                <w:szCs w:val="20"/>
              </w:rPr>
              <w:t xml:space="preserve"> </w:t>
            </w:r>
            <w:r w:rsidR="008E2183" w:rsidRPr="009C0FAF">
              <w:rPr>
                <w:rFonts w:ascii="Arial" w:hAnsi="Arial" w:cs="Arial"/>
                <w:sz w:val="20"/>
                <w:szCs w:val="20"/>
              </w:rPr>
              <w:t>reviewed with the board members during an informal meeting at TRB on January 12</w:t>
            </w:r>
            <w:r w:rsidR="008E2183" w:rsidRPr="009C0FAF">
              <w:rPr>
                <w:rFonts w:ascii="Arial" w:hAnsi="Arial" w:cs="Arial"/>
                <w:sz w:val="20"/>
                <w:szCs w:val="20"/>
                <w:vertAlign w:val="superscript"/>
              </w:rPr>
              <w:t>th</w:t>
            </w:r>
            <w:r w:rsidR="008E2183" w:rsidRPr="009C0FAF">
              <w:rPr>
                <w:rFonts w:ascii="Arial" w:hAnsi="Arial" w:cs="Arial"/>
                <w:sz w:val="20"/>
                <w:szCs w:val="20"/>
              </w:rPr>
              <w:t xml:space="preserve">. </w:t>
            </w:r>
            <w:r w:rsidRPr="009C0FAF">
              <w:rPr>
                <w:rFonts w:ascii="Arial" w:hAnsi="Arial" w:cs="Arial"/>
                <w:sz w:val="20"/>
                <w:szCs w:val="20"/>
              </w:rPr>
              <w:t>The detailed scopes of work were discussed again during the meeting Feb. 18</w:t>
            </w:r>
            <w:r w:rsidRPr="009C0FAF">
              <w:rPr>
                <w:rFonts w:ascii="Arial" w:hAnsi="Arial" w:cs="Arial"/>
                <w:sz w:val="20"/>
                <w:szCs w:val="20"/>
                <w:vertAlign w:val="superscript"/>
              </w:rPr>
              <w:t>th</w:t>
            </w:r>
            <w:r w:rsidRPr="009C0FAF">
              <w:rPr>
                <w:rFonts w:ascii="Arial" w:hAnsi="Arial" w:cs="Arial"/>
                <w:sz w:val="20"/>
                <w:szCs w:val="20"/>
              </w:rPr>
              <w:t xml:space="preserve">.  The board held a private meeting to vote on whether or not the Center would lead these projects.  The board voted unanimously to have the Center lead these </w:t>
            </w:r>
            <w:r w:rsidR="00E87A8B">
              <w:rPr>
                <w:rFonts w:ascii="Arial" w:hAnsi="Arial" w:cs="Arial"/>
                <w:sz w:val="20"/>
                <w:szCs w:val="20"/>
              </w:rPr>
              <w:t xml:space="preserve">two </w:t>
            </w:r>
            <w:r w:rsidRPr="009C0FAF">
              <w:rPr>
                <w:rFonts w:ascii="Arial" w:hAnsi="Arial" w:cs="Arial"/>
                <w:sz w:val="20"/>
                <w:szCs w:val="20"/>
              </w:rPr>
              <w:t>project</w:t>
            </w:r>
            <w:r w:rsidR="00E87A8B">
              <w:rPr>
                <w:rFonts w:ascii="Arial" w:hAnsi="Arial" w:cs="Arial"/>
                <w:sz w:val="20"/>
                <w:szCs w:val="20"/>
              </w:rPr>
              <w:t>s</w:t>
            </w:r>
            <w:bookmarkStart w:id="0" w:name="_GoBack"/>
            <w:bookmarkEnd w:id="0"/>
            <w:r w:rsidRPr="009C0FAF">
              <w:rPr>
                <w:rFonts w:ascii="Arial" w:hAnsi="Arial" w:cs="Arial"/>
                <w:sz w:val="20"/>
                <w:szCs w:val="20"/>
              </w:rPr>
              <w:t>. The Center began to put the two proposed projects into a formal proposal template for MDT and the board to review.  The</w:t>
            </w:r>
            <w:r>
              <w:rPr>
                <w:rFonts w:ascii="Arial" w:hAnsi="Arial" w:cs="Arial"/>
                <w:sz w:val="20"/>
                <w:szCs w:val="20"/>
              </w:rPr>
              <w:t>se proposals</w:t>
            </w:r>
            <w:r w:rsidRPr="009C0FAF">
              <w:rPr>
                <w:rFonts w:ascii="Arial" w:hAnsi="Arial" w:cs="Arial"/>
                <w:sz w:val="20"/>
                <w:szCs w:val="20"/>
              </w:rPr>
              <w:t xml:space="preserve"> should be completed in April.</w:t>
            </w:r>
          </w:p>
          <w:p w:rsidR="009C0FAF" w:rsidRDefault="009C0FAF" w:rsidP="003F443F">
            <w:pPr>
              <w:ind w:right="596"/>
              <w:rPr>
                <w:rFonts w:ascii="Arial" w:hAnsi="Arial" w:cs="Arial"/>
                <w:sz w:val="20"/>
                <w:szCs w:val="20"/>
              </w:rPr>
            </w:pPr>
          </w:p>
          <w:p w:rsidR="009C0FAF" w:rsidRPr="009C0FAF" w:rsidRDefault="009C0FAF" w:rsidP="003F443F">
            <w:pPr>
              <w:ind w:right="596"/>
              <w:rPr>
                <w:rFonts w:ascii="Arial" w:hAnsi="Arial" w:cs="Arial"/>
                <w:sz w:val="20"/>
                <w:szCs w:val="20"/>
              </w:rPr>
            </w:pPr>
            <w:r>
              <w:rPr>
                <w:rFonts w:ascii="Arial" w:hAnsi="Arial" w:cs="Arial"/>
                <w:sz w:val="20"/>
                <w:szCs w:val="20"/>
              </w:rPr>
              <w:t xml:space="preserve">The center provided meeting support during the January and February calls as well as submitted a Quarterly report in January for MDT’s review and approval.  The Center staff continues to support the TSC TPF through outreach and awareness and supporting work plan and project development. </w:t>
            </w:r>
            <w:r w:rsidR="00843F69">
              <w:rPr>
                <w:rFonts w:ascii="Arial" w:hAnsi="Arial" w:cs="Arial"/>
                <w:sz w:val="20"/>
                <w:szCs w:val="20"/>
              </w:rPr>
              <w:t xml:space="preserve">Nic Ward attended several events at TRB during which he provided briefs updates on the pooled fund. He suggested the board consider the Roadway Safety subcommittee annual summit as an opportunity for the pooled fund members to meet face to face.  </w:t>
            </w:r>
          </w:p>
          <w:p w:rsidR="009764BF" w:rsidRPr="009C0FAF" w:rsidRDefault="009764BF" w:rsidP="00551D8A">
            <w:pPr>
              <w:ind w:right="-720"/>
              <w:rPr>
                <w:rFonts w:ascii="Arial" w:hAnsi="Arial" w:cs="Arial"/>
                <w:sz w:val="20"/>
                <w:szCs w:val="20"/>
              </w:rPr>
            </w:pPr>
          </w:p>
          <w:p w:rsidR="009764BF" w:rsidRDefault="00D96BEA" w:rsidP="00551D8A">
            <w:pPr>
              <w:ind w:right="-720"/>
              <w:rPr>
                <w:rFonts w:ascii="Arial" w:hAnsi="Arial" w:cs="Arial"/>
                <w:sz w:val="20"/>
                <w:szCs w:val="20"/>
              </w:rPr>
            </w:pPr>
            <w:r w:rsidRPr="009C0FAF">
              <w:rPr>
                <w:rFonts w:ascii="Arial" w:hAnsi="Arial" w:cs="Arial"/>
                <w:sz w:val="20"/>
                <w:szCs w:val="20"/>
              </w:rPr>
              <w:t>Progress Schedule S</w:t>
            </w:r>
            <w:r w:rsidR="009764BF" w:rsidRPr="009C0FAF">
              <w:rPr>
                <w:rFonts w:ascii="Arial" w:hAnsi="Arial" w:cs="Arial"/>
                <w:sz w:val="20"/>
                <w:szCs w:val="20"/>
              </w:rPr>
              <w:t>tatus</w:t>
            </w:r>
          </w:p>
          <w:tbl>
            <w:tblPr>
              <w:tblStyle w:val="TableGrid"/>
              <w:tblW w:w="11026" w:type="dxa"/>
              <w:tblCellMar>
                <w:top w:w="29" w:type="dxa"/>
                <w:left w:w="115" w:type="dxa"/>
                <w:bottom w:w="29" w:type="dxa"/>
                <w:right w:w="115" w:type="dxa"/>
              </w:tblCellMar>
              <w:tblLook w:val="04A0" w:firstRow="1" w:lastRow="0" w:firstColumn="1" w:lastColumn="0" w:noHBand="0" w:noVBand="1"/>
            </w:tblPr>
            <w:tblGrid>
              <w:gridCol w:w="4213"/>
              <w:gridCol w:w="1057"/>
              <w:gridCol w:w="538"/>
              <w:gridCol w:w="510"/>
              <w:gridCol w:w="509"/>
              <w:gridCol w:w="517"/>
              <w:gridCol w:w="541"/>
              <w:gridCol w:w="535"/>
              <w:gridCol w:w="562"/>
              <w:gridCol w:w="483"/>
              <w:gridCol w:w="473"/>
              <w:gridCol w:w="537"/>
              <w:gridCol w:w="551"/>
            </w:tblGrid>
            <w:tr w:rsidR="00BB3256" w:rsidRPr="00570524" w:rsidTr="00D96BEA">
              <w:tc>
                <w:tcPr>
                  <w:tcW w:w="4213" w:type="dxa"/>
                  <w:vMerge w:val="restart"/>
                  <w:shd w:val="clear" w:color="auto" w:fill="D9D9D9" w:themeFill="background1" w:themeFillShade="D9"/>
                  <w:vAlign w:val="bottom"/>
                </w:tcPr>
                <w:p w:rsidR="00BB3256" w:rsidRPr="00570524" w:rsidRDefault="00BB3256" w:rsidP="00BB3256">
                  <w:pPr>
                    <w:rPr>
                      <w:b/>
                    </w:rPr>
                  </w:pPr>
                  <w:r w:rsidRPr="00570524">
                    <w:rPr>
                      <w:b/>
                    </w:rPr>
                    <w:t>Activity</w:t>
                  </w:r>
                </w:p>
              </w:tc>
              <w:tc>
                <w:tcPr>
                  <w:tcW w:w="1057" w:type="dxa"/>
                  <w:vMerge w:val="restart"/>
                  <w:shd w:val="clear" w:color="auto" w:fill="D9D9D9" w:themeFill="background1" w:themeFillShade="D9"/>
                  <w:vAlign w:val="bottom"/>
                </w:tcPr>
                <w:p w:rsidR="00BB3256" w:rsidRPr="00570524" w:rsidRDefault="00BB3256" w:rsidP="00BB3256">
                  <w:pPr>
                    <w:jc w:val="center"/>
                    <w:rPr>
                      <w:sz w:val="20"/>
                    </w:rPr>
                  </w:pPr>
                  <w:r w:rsidRPr="00570524">
                    <w:rPr>
                      <w:sz w:val="20"/>
                    </w:rPr>
                    <w:t>Percent</w:t>
                  </w:r>
                </w:p>
                <w:p w:rsidR="00BB3256" w:rsidRPr="00570524" w:rsidRDefault="00BB3256" w:rsidP="00BB3256">
                  <w:pPr>
                    <w:jc w:val="center"/>
                    <w:rPr>
                      <w:b/>
                    </w:rPr>
                  </w:pPr>
                  <w:r w:rsidRPr="00570524">
                    <w:rPr>
                      <w:sz w:val="20"/>
                    </w:rPr>
                    <w:t>Complete</w:t>
                  </w:r>
                </w:p>
              </w:tc>
              <w:tc>
                <w:tcPr>
                  <w:tcW w:w="5756" w:type="dxa"/>
                  <w:gridSpan w:val="11"/>
                  <w:shd w:val="clear" w:color="auto" w:fill="D9D9D9" w:themeFill="background1" w:themeFillShade="D9"/>
                </w:tcPr>
                <w:p w:rsidR="00BB3256" w:rsidRPr="00570524" w:rsidRDefault="00BB3256" w:rsidP="00BB3256">
                  <w:pPr>
                    <w:jc w:val="center"/>
                    <w:rPr>
                      <w:b/>
                    </w:rPr>
                  </w:pPr>
                  <w:r w:rsidRPr="00570524">
                    <w:rPr>
                      <w:b/>
                    </w:rPr>
                    <w:t>Year 1 - Month</w:t>
                  </w:r>
                </w:p>
              </w:tc>
            </w:tr>
            <w:tr w:rsidR="00BB3256" w:rsidRPr="00570524" w:rsidTr="00D96BEA">
              <w:tc>
                <w:tcPr>
                  <w:tcW w:w="4213" w:type="dxa"/>
                  <w:vMerge/>
                  <w:shd w:val="clear" w:color="auto" w:fill="D9D9D9" w:themeFill="background1" w:themeFillShade="D9"/>
                </w:tcPr>
                <w:p w:rsidR="00BB3256" w:rsidRPr="00570524" w:rsidRDefault="00BB3256" w:rsidP="00BB3256">
                  <w:pPr>
                    <w:rPr>
                      <w:b/>
                    </w:rPr>
                  </w:pPr>
                </w:p>
              </w:tc>
              <w:tc>
                <w:tcPr>
                  <w:tcW w:w="1057" w:type="dxa"/>
                  <w:vMerge/>
                  <w:shd w:val="clear" w:color="auto" w:fill="D9D9D9" w:themeFill="background1" w:themeFillShade="D9"/>
                </w:tcPr>
                <w:p w:rsidR="00BB3256" w:rsidRPr="00570524" w:rsidRDefault="00BB3256" w:rsidP="00BB3256">
                  <w:pPr>
                    <w:rPr>
                      <w:b/>
                    </w:rPr>
                  </w:pPr>
                </w:p>
              </w:tc>
              <w:tc>
                <w:tcPr>
                  <w:tcW w:w="538" w:type="dxa"/>
                  <w:shd w:val="clear" w:color="auto" w:fill="D9D9D9" w:themeFill="background1" w:themeFillShade="D9"/>
                  <w:vAlign w:val="bottom"/>
                </w:tcPr>
                <w:p w:rsidR="00BB3256" w:rsidRPr="00570524" w:rsidRDefault="00BB3256" w:rsidP="00BB3256">
                  <w:pPr>
                    <w:jc w:val="center"/>
                    <w:rPr>
                      <w:b/>
                      <w:sz w:val="18"/>
                    </w:rPr>
                  </w:pPr>
                  <w:r>
                    <w:rPr>
                      <w:b/>
                      <w:sz w:val="18"/>
                    </w:rPr>
                    <w:t>Nov</w:t>
                  </w:r>
                </w:p>
              </w:tc>
              <w:tc>
                <w:tcPr>
                  <w:tcW w:w="510" w:type="dxa"/>
                  <w:shd w:val="clear" w:color="auto" w:fill="D9D9D9" w:themeFill="background1" w:themeFillShade="D9"/>
                </w:tcPr>
                <w:p w:rsidR="00BB3256" w:rsidRPr="00570524" w:rsidRDefault="00BB3256" w:rsidP="00BB3256">
                  <w:pPr>
                    <w:jc w:val="center"/>
                    <w:rPr>
                      <w:b/>
                      <w:sz w:val="18"/>
                    </w:rPr>
                  </w:pPr>
                  <w:r>
                    <w:rPr>
                      <w:b/>
                      <w:sz w:val="18"/>
                    </w:rPr>
                    <w:t>Dec</w:t>
                  </w:r>
                </w:p>
              </w:tc>
              <w:tc>
                <w:tcPr>
                  <w:tcW w:w="509" w:type="dxa"/>
                  <w:shd w:val="clear" w:color="auto" w:fill="D9D9D9" w:themeFill="background1" w:themeFillShade="D9"/>
                </w:tcPr>
                <w:p w:rsidR="00BB3256" w:rsidRPr="00570524" w:rsidRDefault="00BB3256" w:rsidP="00BB3256">
                  <w:pPr>
                    <w:jc w:val="center"/>
                    <w:rPr>
                      <w:b/>
                      <w:sz w:val="18"/>
                    </w:rPr>
                  </w:pPr>
                  <w:r>
                    <w:rPr>
                      <w:b/>
                      <w:sz w:val="18"/>
                    </w:rPr>
                    <w:t>Jan</w:t>
                  </w:r>
                </w:p>
              </w:tc>
              <w:tc>
                <w:tcPr>
                  <w:tcW w:w="517" w:type="dxa"/>
                  <w:shd w:val="clear" w:color="auto" w:fill="D9D9D9" w:themeFill="background1" w:themeFillShade="D9"/>
                </w:tcPr>
                <w:p w:rsidR="00BB3256" w:rsidRPr="00570524" w:rsidRDefault="00BB3256" w:rsidP="00BB3256">
                  <w:pPr>
                    <w:jc w:val="center"/>
                    <w:rPr>
                      <w:b/>
                      <w:sz w:val="18"/>
                    </w:rPr>
                  </w:pPr>
                  <w:r>
                    <w:rPr>
                      <w:b/>
                      <w:sz w:val="18"/>
                    </w:rPr>
                    <w:t>Feb</w:t>
                  </w:r>
                </w:p>
              </w:tc>
              <w:tc>
                <w:tcPr>
                  <w:tcW w:w="541" w:type="dxa"/>
                  <w:shd w:val="clear" w:color="auto" w:fill="D9D9D9" w:themeFill="background1" w:themeFillShade="D9"/>
                </w:tcPr>
                <w:p w:rsidR="00BB3256" w:rsidRPr="00570524" w:rsidRDefault="00BB3256" w:rsidP="00BB3256">
                  <w:pPr>
                    <w:jc w:val="center"/>
                    <w:rPr>
                      <w:b/>
                      <w:sz w:val="18"/>
                    </w:rPr>
                  </w:pPr>
                  <w:r>
                    <w:rPr>
                      <w:b/>
                      <w:sz w:val="18"/>
                    </w:rPr>
                    <w:t>Mar</w:t>
                  </w:r>
                </w:p>
              </w:tc>
              <w:tc>
                <w:tcPr>
                  <w:tcW w:w="535" w:type="dxa"/>
                  <w:shd w:val="clear" w:color="auto" w:fill="D9D9D9" w:themeFill="background1" w:themeFillShade="D9"/>
                  <w:vAlign w:val="bottom"/>
                </w:tcPr>
                <w:p w:rsidR="00BB3256" w:rsidRPr="00570524" w:rsidRDefault="00BB3256" w:rsidP="00BB3256">
                  <w:pPr>
                    <w:jc w:val="center"/>
                    <w:rPr>
                      <w:b/>
                      <w:sz w:val="18"/>
                    </w:rPr>
                  </w:pPr>
                  <w:r>
                    <w:rPr>
                      <w:b/>
                      <w:sz w:val="18"/>
                    </w:rPr>
                    <w:t>Apr</w:t>
                  </w:r>
                </w:p>
              </w:tc>
              <w:tc>
                <w:tcPr>
                  <w:tcW w:w="562" w:type="dxa"/>
                  <w:shd w:val="clear" w:color="auto" w:fill="D9D9D9" w:themeFill="background1" w:themeFillShade="D9"/>
                  <w:vAlign w:val="bottom"/>
                </w:tcPr>
                <w:p w:rsidR="00BB3256" w:rsidRPr="00570524" w:rsidRDefault="00BB3256" w:rsidP="00BB3256">
                  <w:pPr>
                    <w:jc w:val="center"/>
                    <w:rPr>
                      <w:b/>
                      <w:sz w:val="18"/>
                    </w:rPr>
                  </w:pPr>
                  <w:r>
                    <w:rPr>
                      <w:b/>
                      <w:sz w:val="18"/>
                    </w:rPr>
                    <w:t>May</w:t>
                  </w:r>
                </w:p>
              </w:tc>
              <w:tc>
                <w:tcPr>
                  <w:tcW w:w="483" w:type="dxa"/>
                  <w:tcBorders>
                    <w:bottom w:val="single" w:sz="4" w:space="0" w:color="auto"/>
                  </w:tcBorders>
                  <w:shd w:val="clear" w:color="auto" w:fill="D9D9D9" w:themeFill="background1" w:themeFillShade="D9"/>
                  <w:vAlign w:val="bottom"/>
                </w:tcPr>
                <w:p w:rsidR="00BB3256" w:rsidRPr="00570524" w:rsidRDefault="00BB3256" w:rsidP="00BB3256">
                  <w:pPr>
                    <w:jc w:val="center"/>
                    <w:rPr>
                      <w:b/>
                      <w:sz w:val="18"/>
                    </w:rPr>
                  </w:pPr>
                  <w:r>
                    <w:rPr>
                      <w:b/>
                      <w:sz w:val="18"/>
                    </w:rPr>
                    <w:t>Jun</w:t>
                  </w:r>
                </w:p>
              </w:tc>
              <w:tc>
                <w:tcPr>
                  <w:tcW w:w="473" w:type="dxa"/>
                  <w:shd w:val="clear" w:color="auto" w:fill="D9D9D9" w:themeFill="background1" w:themeFillShade="D9"/>
                  <w:vAlign w:val="bottom"/>
                </w:tcPr>
                <w:p w:rsidR="00BB3256" w:rsidRPr="00570524" w:rsidRDefault="00BB3256" w:rsidP="00BB3256">
                  <w:pPr>
                    <w:jc w:val="center"/>
                    <w:rPr>
                      <w:b/>
                      <w:sz w:val="18"/>
                    </w:rPr>
                  </w:pPr>
                  <w:r>
                    <w:rPr>
                      <w:b/>
                      <w:sz w:val="18"/>
                    </w:rPr>
                    <w:t>Jul</w:t>
                  </w:r>
                </w:p>
              </w:tc>
              <w:tc>
                <w:tcPr>
                  <w:tcW w:w="537" w:type="dxa"/>
                  <w:shd w:val="clear" w:color="auto" w:fill="D9D9D9" w:themeFill="background1" w:themeFillShade="D9"/>
                  <w:vAlign w:val="bottom"/>
                </w:tcPr>
                <w:p w:rsidR="00BB3256" w:rsidRPr="00570524" w:rsidRDefault="00BB3256" w:rsidP="00BB3256">
                  <w:pPr>
                    <w:jc w:val="center"/>
                    <w:rPr>
                      <w:b/>
                      <w:sz w:val="18"/>
                    </w:rPr>
                  </w:pPr>
                  <w:r>
                    <w:rPr>
                      <w:b/>
                      <w:sz w:val="18"/>
                    </w:rPr>
                    <w:t>Aug</w:t>
                  </w:r>
                </w:p>
              </w:tc>
              <w:tc>
                <w:tcPr>
                  <w:tcW w:w="551" w:type="dxa"/>
                  <w:shd w:val="clear" w:color="auto" w:fill="D9D9D9" w:themeFill="background1" w:themeFillShade="D9"/>
                  <w:vAlign w:val="bottom"/>
                </w:tcPr>
                <w:p w:rsidR="00BB3256" w:rsidRPr="00570524" w:rsidRDefault="00BB3256" w:rsidP="00BB3256">
                  <w:pPr>
                    <w:jc w:val="center"/>
                    <w:rPr>
                      <w:b/>
                      <w:sz w:val="18"/>
                    </w:rPr>
                  </w:pPr>
                  <w:r>
                    <w:rPr>
                      <w:b/>
                      <w:sz w:val="18"/>
                    </w:rPr>
                    <w:t>Sep.</w:t>
                  </w:r>
                </w:p>
              </w:tc>
            </w:tr>
            <w:tr w:rsidR="00BB3256" w:rsidRPr="00570524" w:rsidTr="00D96BEA">
              <w:tc>
                <w:tcPr>
                  <w:tcW w:w="4213" w:type="dxa"/>
                </w:tcPr>
                <w:p w:rsidR="00BB3256" w:rsidRPr="00570524" w:rsidRDefault="00BB3256" w:rsidP="00BB3256">
                  <w:r w:rsidRPr="00570524">
                    <w:t xml:space="preserve">Task 1: </w:t>
                  </w:r>
                  <w:r>
                    <w:t>Meeting Support</w:t>
                  </w:r>
                </w:p>
              </w:tc>
              <w:tc>
                <w:tcPr>
                  <w:tcW w:w="1057" w:type="dxa"/>
                  <w:vAlign w:val="center"/>
                </w:tcPr>
                <w:p w:rsidR="00BB3256" w:rsidRPr="00570524" w:rsidRDefault="001C4436" w:rsidP="00BB3256">
                  <w:pPr>
                    <w:jc w:val="center"/>
                  </w:pPr>
                  <w:r>
                    <w:t>37.5</w:t>
                  </w:r>
                  <w:r w:rsidR="00D96BEA">
                    <w:t>%</w:t>
                  </w:r>
                </w:p>
              </w:tc>
              <w:tc>
                <w:tcPr>
                  <w:tcW w:w="538" w:type="dxa"/>
                  <w:shd w:val="clear" w:color="auto" w:fill="A6A6A6" w:themeFill="background1" w:themeFillShade="A6"/>
                  <w:vAlign w:val="center"/>
                </w:tcPr>
                <w:p w:rsidR="00BB3256" w:rsidRPr="00570524" w:rsidRDefault="00D96BEA" w:rsidP="00BB3256">
                  <w:pPr>
                    <w:jc w:val="center"/>
                  </w:pPr>
                  <w:r>
                    <w:t>X</w:t>
                  </w:r>
                </w:p>
              </w:tc>
              <w:tc>
                <w:tcPr>
                  <w:tcW w:w="510" w:type="dxa"/>
                  <w:shd w:val="clear" w:color="auto" w:fill="auto"/>
                </w:tcPr>
                <w:p w:rsidR="00BB3256" w:rsidRPr="00570524" w:rsidRDefault="00BB3256" w:rsidP="00BB3256">
                  <w:pPr>
                    <w:jc w:val="center"/>
                  </w:pPr>
                </w:p>
              </w:tc>
              <w:tc>
                <w:tcPr>
                  <w:tcW w:w="509" w:type="dxa"/>
                  <w:shd w:val="clear" w:color="auto" w:fill="A6A6A6" w:themeFill="background1" w:themeFillShade="A6"/>
                </w:tcPr>
                <w:p w:rsidR="00BB3256" w:rsidRPr="00570524" w:rsidRDefault="00A86798" w:rsidP="00BB3256">
                  <w:pPr>
                    <w:jc w:val="center"/>
                  </w:pPr>
                  <w:r>
                    <w:t>X</w:t>
                  </w:r>
                </w:p>
              </w:tc>
              <w:tc>
                <w:tcPr>
                  <w:tcW w:w="517" w:type="dxa"/>
                  <w:shd w:val="clear" w:color="auto" w:fill="A6A6A6" w:themeFill="background1" w:themeFillShade="A6"/>
                </w:tcPr>
                <w:p w:rsidR="00BB3256" w:rsidRPr="00570524" w:rsidRDefault="00A86798" w:rsidP="00BB3256">
                  <w:pPr>
                    <w:jc w:val="center"/>
                  </w:pPr>
                  <w:r>
                    <w:t>X</w:t>
                  </w:r>
                </w:p>
              </w:tc>
              <w:tc>
                <w:tcPr>
                  <w:tcW w:w="541" w:type="dxa"/>
                  <w:shd w:val="clear" w:color="auto" w:fill="auto"/>
                </w:tcPr>
                <w:p w:rsidR="00BB3256" w:rsidRPr="00570524" w:rsidRDefault="00BB3256" w:rsidP="00BB3256">
                  <w:pPr>
                    <w:jc w:val="center"/>
                  </w:pPr>
                </w:p>
              </w:tc>
              <w:tc>
                <w:tcPr>
                  <w:tcW w:w="535" w:type="dxa"/>
                  <w:shd w:val="clear" w:color="auto" w:fill="A6A6A6" w:themeFill="background1" w:themeFillShade="A6"/>
                  <w:vAlign w:val="center"/>
                </w:tcPr>
                <w:p w:rsidR="00BB3256" w:rsidRPr="00570524" w:rsidRDefault="00BB3256" w:rsidP="00BB3256">
                  <w:pPr>
                    <w:jc w:val="center"/>
                  </w:pPr>
                </w:p>
              </w:tc>
              <w:tc>
                <w:tcPr>
                  <w:tcW w:w="562" w:type="dxa"/>
                  <w:shd w:val="clear" w:color="auto" w:fill="A6A6A6" w:themeFill="background1" w:themeFillShade="A6"/>
                  <w:vAlign w:val="center"/>
                </w:tcPr>
                <w:p w:rsidR="00BB3256" w:rsidRPr="00570524" w:rsidRDefault="00BB3256" w:rsidP="00BB3256">
                  <w:pPr>
                    <w:jc w:val="center"/>
                  </w:pPr>
                </w:p>
              </w:tc>
              <w:tc>
                <w:tcPr>
                  <w:tcW w:w="483" w:type="dxa"/>
                  <w:shd w:val="clear" w:color="auto" w:fill="A6A6A6" w:themeFill="background1" w:themeFillShade="A6"/>
                  <w:vAlign w:val="center"/>
                </w:tcPr>
                <w:p w:rsidR="00BB3256" w:rsidRPr="00570524" w:rsidRDefault="00BB3256" w:rsidP="00BB3256">
                  <w:pPr>
                    <w:jc w:val="center"/>
                  </w:pPr>
                </w:p>
              </w:tc>
              <w:tc>
                <w:tcPr>
                  <w:tcW w:w="473" w:type="dxa"/>
                  <w:shd w:val="clear" w:color="auto" w:fill="A6A6A6" w:themeFill="background1" w:themeFillShade="A6"/>
                  <w:vAlign w:val="center"/>
                </w:tcPr>
                <w:p w:rsidR="00BB3256" w:rsidRPr="00570524" w:rsidRDefault="00BB3256" w:rsidP="00BB3256">
                  <w:pPr>
                    <w:jc w:val="center"/>
                  </w:pPr>
                </w:p>
              </w:tc>
              <w:tc>
                <w:tcPr>
                  <w:tcW w:w="537" w:type="dxa"/>
                  <w:shd w:val="clear" w:color="auto" w:fill="A6A6A6" w:themeFill="background1" w:themeFillShade="A6"/>
                  <w:vAlign w:val="center"/>
                </w:tcPr>
                <w:p w:rsidR="00BB3256" w:rsidRPr="00570524" w:rsidRDefault="00BB3256" w:rsidP="00BB3256">
                  <w:pPr>
                    <w:jc w:val="center"/>
                  </w:pPr>
                </w:p>
              </w:tc>
              <w:tc>
                <w:tcPr>
                  <w:tcW w:w="551" w:type="dxa"/>
                  <w:shd w:val="clear" w:color="auto" w:fill="auto"/>
                  <w:vAlign w:val="center"/>
                </w:tcPr>
                <w:p w:rsidR="00BB3256" w:rsidRPr="00570524" w:rsidRDefault="00BB3256" w:rsidP="00BB3256">
                  <w:pPr>
                    <w:jc w:val="center"/>
                  </w:pPr>
                </w:p>
              </w:tc>
            </w:tr>
            <w:tr w:rsidR="00BB3256" w:rsidRPr="00570524" w:rsidTr="00D96BEA">
              <w:tc>
                <w:tcPr>
                  <w:tcW w:w="4213" w:type="dxa"/>
                </w:tcPr>
                <w:p w:rsidR="00BB3256" w:rsidRPr="00570524" w:rsidRDefault="00BB3256" w:rsidP="00BB3256">
                  <w:r w:rsidRPr="00570524">
                    <w:t xml:space="preserve">Task 2: </w:t>
                  </w:r>
                  <w:r w:rsidR="00DC75E8">
                    <w:t>Report Writing Support</w:t>
                  </w:r>
                </w:p>
              </w:tc>
              <w:tc>
                <w:tcPr>
                  <w:tcW w:w="1057" w:type="dxa"/>
                  <w:vAlign w:val="center"/>
                </w:tcPr>
                <w:p w:rsidR="00BB3256" w:rsidRPr="00570524" w:rsidRDefault="001C4436" w:rsidP="00BB3256">
                  <w:pPr>
                    <w:jc w:val="center"/>
                  </w:pPr>
                  <w:r>
                    <w:t>50</w:t>
                  </w:r>
                  <w:r w:rsidR="00D96BEA">
                    <w:t>%</w:t>
                  </w:r>
                </w:p>
              </w:tc>
              <w:tc>
                <w:tcPr>
                  <w:tcW w:w="538" w:type="dxa"/>
                  <w:shd w:val="clear" w:color="auto" w:fill="auto"/>
                  <w:vAlign w:val="center"/>
                </w:tcPr>
                <w:p w:rsidR="00BB3256" w:rsidRPr="00570524" w:rsidRDefault="00BB3256" w:rsidP="00BB3256">
                  <w:pPr>
                    <w:jc w:val="center"/>
                  </w:pPr>
                </w:p>
              </w:tc>
              <w:tc>
                <w:tcPr>
                  <w:tcW w:w="510" w:type="dxa"/>
                  <w:shd w:val="clear" w:color="auto" w:fill="A6A6A6" w:themeFill="background1" w:themeFillShade="A6"/>
                </w:tcPr>
                <w:p w:rsidR="00BB3256" w:rsidRPr="00570524" w:rsidRDefault="00D96BEA" w:rsidP="00BB3256">
                  <w:pPr>
                    <w:jc w:val="center"/>
                  </w:pPr>
                  <w:r>
                    <w:t>X</w:t>
                  </w:r>
                </w:p>
              </w:tc>
              <w:tc>
                <w:tcPr>
                  <w:tcW w:w="509" w:type="dxa"/>
                  <w:shd w:val="clear" w:color="auto" w:fill="auto"/>
                </w:tcPr>
                <w:p w:rsidR="00BB3256" w:rsidRPr="00570524" w:rsidRDefault="00BB3256" w:rsidP="00BB3256">
                  <w:pPr>
                    <w:jc w:val="center"/>
                  </w:pPr>
                </w:p>
              </w:tc>
              <w:tc>
                <w:tcPr>
                  <w:tcW w:w="517" w:type="dxa"/>
                  <w:shd w:val="clear" w:color="auto" w:fill="auto"/>
                </w:tcPr>
                <w:p w:rsidR="00BB3256" w:rsidRPr="00570524" w:rsidRDefault="00BB3256" w:rsidP="00BB3256">
                  <w:pPr>
                    <w:jc w:val="center"/>
                  </w:pPr>
                </w:p>
              </w:tc>
              <w:tc>
                <w:tcPr>
                  <w:tcW w:w="541" w:type="dxa"/>
                  <w:shd w:val="clear" w:color="auto" w:fill="A6A6A6" w:themeFill="background1" w:themeFillShade="A6"/>
                </w:tcPr>
                <w:p w:rsidR="00BB3256" w:rsidRPr="00570524" w:rsidRDefault="00A86798" w:rsidP="00BB3256">
                  <w:pPr>
                    <w:jc w:val="center"/>
                  </w:pPr>
                  <w:r>
                    <w:t>X</w:t>
                  </w:r>
                </w:p>
              </w:tc>
              <w:tc>
                <w:tcPr>
                  <w:tcW w:w="535" w:type="dxa"/>
                  <w:shd w:val="clear" w:color="auto" w:fill="auto"/>
                  <w:vAlign w:val="center"/>
                </w:tcPr>
                <w:p w:rsidR="00BB3256" w:rsidRPr="00570524" w:rsidRDefault="00BB3256" w:rsidP="00BB3256">
                  <w:pPr>
                    <w:jc w:val="center"/>
                  </w:pPr>
                </w:p>
              </w:tc>
              <w:tc>
                <w:tcPr>
                  <w:tcW w:w="562" w:type="dxa"/>
                  <w:shd w:val="clear" w:color="auto" w:fill="auto"/>
                  <w:vAlign w:val="center"/>
                </w:tcPr>
                <w:p w:rsidR="00BB3256" w:rsidRPr="00570524" w:rsidRDefault="00BB3256" w:rsidP="00BB3256">
                  <w:pPr>
                    <w:jc w:val="center"/>
                  </w:pPr>
                </w:p>
              </w:tc>
              <w:tc>
                <w:tcPr>
                  <w:tcW w:w="483" w:type="dxa"/>
                  <w:shd w:val="clear" w:color="auto" w:fill="A6A6A6" w:themeFill="background1" w:themeFillShade="A6"/>
                  <w:vAlign w:val="center"/>
                </w:tcPr>
                <w:p w:rsidR="00BB3256" w:rsidRPr="00570524" w:rsidRDefault="00BB3256" w:rsidP="00BB3256">
                  <w:pPr>
                    <w:jc w:val="center"/>
                  </w:pPr>
                </w:p>
              </w:tc>
              <w:tc>
                <w:tcPr>
                  <w:tcW w:w="473" w:type="dxa"/>
                  <w:shd w:val="clear" w:color="auto" w:fill="auto"/>
                  <w:vAlign w:val="center"/>
                </w:tcPr>
                <w:p w:rsidR="00BB3256" w:rsidRPr="00570524" w:rsidRDefault="00BB3256" w:rsidP="00BB3256">
                  <w:pPr>
                    <w:jc w:val="center"/>
                  </w:pPr>
                </w:p>
              </w:tc>
              <w:tc>
                <w:tcPr>
                  <w:tcW w:w="537" w:type="dxa"/>
                  <w:shd w:val="clear" w:color="auto" w:fill="auto"/>
                  <w:vAlign w:val="center"/>
                </w:tcPr>
                <w:p w:rsidR="00BB3256" w:rsidRPr="00570524" w:rsidRDefault="00BB3256" w:rsidP="00BB3256">
                  <w:pPr>
                    <w:jc w:val="center"/>
                  </w:pPr>
                </w:p>
              </w:tc>
              <w:tc>
                <w:tcPr>
                  <w:tcW w:w="551" w:type="dxa"/>
                  <w:shd w:val="clear" w:color="auto" w:fill="A6A6A6" w:themeFill="background1" w:themeFillShade="A6"/>
                  <w:vAlign w:val="center"/>
                </w:tcPr>
                <w:p w:rsidR="00BB3256" w:rsidRPr="00570524" w:rsidRDefault="00BB3256" w:rsidP="00BB3256">
                  <w:pPr>
                    <w:jc w:val="center"/>
                  </w:pPr>
                </w:p>
              </w:tc>
            </w:tr>
            <w:tr w:rsidR="00BB3256" w:rsidRPr="00570524" w:rsidTr="00D96BEA">
              <w:tc>
                <w:tcPr>
                  <w:tcW w:w="4213" w:type="dxa"/>
                </w:tcPr>
                <w:p w:rsidR="00BB3256" w:rsidRPr="00570524" w:rsidRDefault="00BB3256" w:rsidP="00BB3256">
                  <w:r w:rsidRPr="00570524">
                    <w:t xml:space="preserve">Task 3: </w:t>
                  </w:r>
                  <w:r w:rsidR="00DC75E8">
                    <w:t>Support Website</w:t>
                  </w:r>
                </w:p>
              </w:tc>
              <w:tc>
                <w:tcPr>
                  <w:tcW w:w="1057" w:type="dxa"/>
                  <w:vAlign w:val="center"/>
                </w:tcPr>
                <w:p w:rsidR="00BB3256" w:rsidRPr="00570524" w:rsidRDefault="00281929" w:rsidP="00BB3256">
                  <w:pPr>
                    <w:jc w:val="center"/>
                  </w:pPr>
                  <w:r>
                    <w:t>45</w:t>
                  </w:r>
                  <w:r w:rsidR="00D96BEA">
                    <w:t>%</w:t>
                  </w:r>
                </w:p>
              </w:tc>
              <w:tc>
                <w:tcPr>
                  <w:tcW w:w="538" w:type="dxa"/>
                  <w:shd w:val="clear" w:color="auto" w:fill="A6A6A6" w:themeFill="background1" w:themeFillShade="A6"/>
                  <w:vAlign w:val="center"/>
                </w:tcPr>
                <w:p w:rsidR="00BB3256" w:rsidRPr="00570524" w:rsidRDefault="00D96BEA" w:rsidP="00BB3256">
                  <w:pPr>
                    <w:jc w:val="center"/>
                  </w:pPr>
                  <w:r>
                    <w:t>X</w:t>
                  </w:r>
                </w:p>
              </w:tc>
              <w:tc>
                <w:tcPr>
                  <w:tcW w:w="510" w:type="dxa"/>
                  <w:shd w:val="clear" w:color="auto" w:fill="A6A6A6" w:themeFill="background1" w:themeFillShade="A6"/>
                </w:tcPr>
                <w:p w:rsidR="00BB3256" w:rsidRPr="00570524" w:rsidRDefault="00D96BEA" w:rsidP="00BB3256">
                  <w:pPr>
                    <w:jc w:val="center"/>
                  </w:pPr>
                  <w:r>
                    <w:t>X</w:t>
                  </w:r>
                </w:p>
              </w:tc>
              <w:tc>
                <w:tcPr>
                  <w:tcW w:w="509" w:type="dxa"/>
                  <w:shd w:val="clear" w:color="auto" w:fill="A6A6A6" w:themeFill="background1" w:themeFillShade="A6"/>
                </w:tcPr>
                <w:p w:rsidR="00BB3256" w:rsidRPr="00570524" w:rsidRDefault="00A86798" w:rsidP="00BB3256">
                  <w:pPr>
                    <w:jc w:val="center"/>
                  </w:pPr>
                  <w:r>
                    <w:t>X</w:t>
                  </w:r>
                </w:p>
              </w:tc>
              <w:tc>
                <w:tcPr>
                  <w:tcW w:w="517" w:type="dxa"/>
                  <w:shd w:val="clear" w:color="auto" w:fill="A6A6A6" w:themeFill="background1" w:themeFillShade="A6"/>
                </w:tcPr>
                <w:p w:rsidR="00BB3256" w:rsidRPr="00570524" w:rsidRDefault="00A86798" w:rsidP="00BB3256">
                  <w:pPr>
                    <w:jc w:val="center"/>
                  </w:pPr>
                  <w:r>
                    <w:t>X</w:t>
                  </w:r>
                </w:p>
              </w:tc>
              <w:tc>
                <w:tcPr>
                  <w:tcW w:w="541" w:type="dxa"/>
                  <w:shd w:val="clear" w:color="auto" w:fill="A6A6A6" w:themeFill="background1" w:themeFillShade="A6"/>
                </w:tcPr>
                <w:p w:rsidR="00BB3256" w:rsidRPr="00570524" w:rsidRDefault="00A86798" w:rsidP="00BB3256">
                  <w:pPr>
                    <w:jc w:val="center"/>
                  </w:pPr>
                  <w:r>
                    <w:t>X</w:t>
                  </w:r>
                </w:p>
              </w:tc>
              <w:tc>
                <w:tcPr>
                  <w:tcW w:w="535" w:type="dxa"/>
                  <w:shd w:val="clear" w:color="auto" w:fill="A6A6A6" w:themeFill="background1" w:themeFillShade="A6"/>
                  <w:vAlign w:val="center"/>
                </w:tcPr>
                <w:p w:rsidR="00BB3256" w:rsidRPr="00570524" w:rsidRDefault="00BB3256" w:rsidP="00BB3256">
                  <w:pPr>
                    <w:jc w:val="center"/>
                  </w:pPr>
                </w:p>
              </w:tc>
              <w:tc>
                <w:tcPr>
                  <w:tcW w:w="562" w:type="dxa"/>
                  <w:shd w:val="clear" w:color="auto" w:fill="A6A6A6" w:themeFill="background1" w:themeFillShade="A6"/>
                  <w:vAlign w:val="center"/>
                </w:tcPr>
                <w:p w:rsidR="00BB3256" w:rsidRPr="00570524" w:rsidRDefault="00BB3256" w:rsidP="00BB3256">
                  <w:pPr>
                    <w:jc w:val="center"/>
                  </w:pPr>
                </w:p>
              </w:tc>
              <w:tc>
                <w:tcPr>
                  <w:tcW w:w="483" w:type="dxa"/>
                  <w:shd w:val="clear" w:color="auto" w:fill="A6A6A6" w:themeFill="background1" w:themeFillShade="A6"/>
                  <w:vAlign w:val="center"/>
                </w:tcPr>
                <w:p w:rsidR="00BB3256" w:rsidRPr="00570524" w:rsidRDefault="00BB3256" w:rsidP="00BB3256">
                  <w:pPr>
                    <w:jc w:val="center"/>
                  </w:pPr>
                </w:p>
              </w:tc>
              <w:tc>
                <w:tcPr>
                  <w:tcW w:w="473" w:type="dxa"/>
                  <w:shd w:val="clear" w:color="auto" w:fill="A6A6A6" w:themeFill="background1" w:themeFillShade="A6"/>
                  <w:vAlign w:val="center"/>
                </w:tcPr>
                <w:p w:rsidR="00BB3256" w:rsidRPr="00570524" w:rsidRDefault="00BB3256" w:rsidP="00BB3256">
                  <w:pPr>
                    <w:jc w:val="center"/>
                  </w:pPr>
                </w:p>
              </w:tc>
              <w:tc>
                <w:tcPr>
                  <w:tcW w:w="537" w:type="dxa"/>
                  <w:shd w:val="clear" w:color="auto" w:fill="A6A6A6" w:themeFill="background1" w:themeFillShade="A6"/>
                  <w:vAlign w:val="center"/>
                </w:tcPr>
                <w:p w:rsidR="00BB3256" w:rsidRPr="00570524" w:rsidRDefault="00BB3256" w:rsidP="00BB3256">
                  <w:pPr>
                    <w:jc w:val="center"/>
                  </w:pPr>
                </w:p>
              </w:tc>
              <w:tc>
                <w:tcPr>
                  <w:tcW w:w="551" w:type="dxa"/>
                  <w:shd w:val="clear" w:color="auto" w:fill="A6A6A6" w:themeFill="background1" w:themeFillShade="A6"/>
                  <w:vAlign w:val="center"/>
                </w:tcPr>
                <w:p w:rsidR="00BB3256" w:rsidRPr="00570524" w:rsidRDefault="00BB3256" w:rsidP="00BB3256">
                  <w:pPr>
                    <w:jc w:val="center"/>
                  </w:pPr>
                </w:p>
              </w:tc>
            </w:tr>
            <w:tr w:rsidR="00BB3256" w:rsidRPr="00570524" w:rsidTr="00D96BEA">
              <w:tc>
                <w:tcPr>
                  <w:tcW w:w="4213" w:type="dxa"/>
                </w:tcPr>
                <w:p w:rsidR="00BB3256" w:rsidRPr="00570524" w:rsidRDefault="00BB3256" w:rsidP="00BB3256">
                  <w:r w:rsidRPr="00570524">
                    <w:t xml:space="preserve">Task 4: </w:t>
                  </w:r>
                  <w:r w:rsidR="00DC75E8">
                    <w:t>Support Outreach and Awareness</w:t>
                  </w:r>
                </w:p>
              </w:tc>
              <w:tc>
                <w:tcPr>
                  <w:tcW w:w="1057" w:type="dxa"/>
                  <w:vAlign w:val="center"/>
                </w:tcPr>
                <w:p w:rsidR="00BB3256" w:rsidRPr="00570524" w:rsidRDefault="00281929" w:rsidP="00BB3256">
                  <w:pPr>
                    <w:jc w:val="center"/>
                  </w:pPr>
                  <w:r>
                    <w:t>45</w:t>
                  </w:r>
                  <w:r w:rsidR="00D96BEA">
                    <w:t>%</w:t>
                  </w:r>
                </w:p>
              </w:tc>
              <w:tc>
                <w:tcPr>
                  <w:tcW w:w="538" w:type="dxa"/>
                  <w:shd w:val="clear" w:color="auto" w:fill="A6A6A6" w:themeFill="background1" w:themeFillShade="A6"/>
                  <w:vAlign w:val="center"/>
                </w:tcPr>
                <w:p w:rsidR="00BB3256" w:rsidRPr="00570524" w:rsidRDefault="00D96BEA" w:rsidP="00BB3256">
                  <w:pPr>
                    <w:jc w:val="center"/>
                  </w:pPr>
                  <w:r>
                    <w:t>X</w:t>
                  </w:r>
                </w:p>
              </w:tc>
              <w:tc>
                <w:tcPr>
                  <w:tcW w:w="510" w:type="dxa"/>
                  <w:shd w:val="clear" w:color="auto" w:fill="A6A6A6" w:themeFill="background1" w:themeFillShade="A6"/>
                </w:tcPr>
                <w:p w:rsidR="00BB3256" w:rsidRPr="00570524" w:rsidRDefault="00D96BEA" w:rsidP="00BB3256">
                  <w:pPr>
                    <w:jc w:val="center"/>
                  </w:pPr>
                  <w:r>
                    <w:t>X</w:t>
                  </w:r>
                </w:p>
              </w:tc>
              <w:tc>
                <w:tcPr>
                  <w:tcW w:w="509" w:type="dxa"/>
                  <w:shd w:val="clear" w:color="auto" w:fill="A6A6A6" w:themeFill="background1" w:themeFillShade="A6"/>
                </w:tcPr>
                <w:p w:rsidR="00BB3256" w:rsidRPr="00570524" w:rsidRDefault="00A86798" w:rsidP="00BB3256">
                  <w:pPr>
                    <w:jc w:val="center"/>
                  </w:pPr>
                  <w:r>
                    <w:t>X</w:t>
                  </w:r>
                </w:p>
              </w:tc>
              <w:tc>
                <w:tcPr>
                  <w:tcW w:w="517" w:type="dxa"/>
                  <w:shd w:val="clear" w:color="auto" w:fill="A6A6A6" w:themeFill="background1" w:themeFillShade="A6"/>
                </w:tcPr>
                <w:p w:rsidR="00BB3256" w:rsidRPr="00570524" w:rsidRDefault="00A86798" w:rsidP="00BB3256">
                  <w:pPr>
                    <w:jc w:val="center"/>
                  </w:pPr>
                  <w:r>
                    <w:t>X</w:t>
                  </w:r>
                </w:p>
              </w:tc>
              <w:tc>
                <w:tcPr>
                  <w:tcW w:w="541" w:type="dxa"/>
                  <w:shd w:val="clear" w:color="auto" w:fill="A6A6A6" w:themeFill="background1" w:themeFillShade="A6"/>
                </w:tcPr>
                <w:p w:rsidR="00BB3256" w:rsidRPr="00570524" w:rsidRDefault="00A86798" w:rsidP="00BB3256">
                  <w:pPr>
                    <w:jc w:val="center"/>
                  </w:pPr>
                  <w:r>
                    <w:t>X</w:t>
                  </w:r>
                </w:p>
              </w:tc>
              <w:tc>
                <w:tcPr>
                  <w:tcW w:w="535" w:type="dxa"/>
                  <w:shd w:val="clear" w:color="auto" w:fill="A6A6A6" w:themeFill="background1" w:themeFillShade="A6"/>
                  <w:vAlign w:val="center"/>
                </w:tcPr>
                <w:p w:rsidR="00BB3256" w:rsidRPr="00570524" w:rsidRDefault="00BB3256" w:rsidP="00BB3256">
                  <w:pPr>
                    <w:jc w:val="center"/>
                  </w:pPr>
                </w:p>
              </w:tc>
              <w:tc>
                <w:tcPr>
                  <w:tcW w:w="562" w:type="dxa"/>
                  <w:shd w:val="clear" w:color="auto" w:fill="A6A6A6" w:themeFill="background1" w:themeFillShade="A6"/>
                  <w:vAlign w:val="center"/>
                </w:tcPr>
                <w:p w:rsidR="00BB3256" w:rsidRPr="00570524" w:rsidRDefault="00BB3256" w:rsidP="00BB3256">
                  <w:pPr>
                    <w:jc w:val="center"/>
                  </w:pPr>
                </w:p>
              </w:tc>
              <w:tc>
                <w:tcPr>
                  <w:tcW w:w="483" w:type="dxa"/>
                  <w:shd w:val="clear" w:color="auto" w:fill="A6A6A6" w:themeFill="background1" w:themeFillShade="A6"/>
                  <w:vAlign w:val="center"/>
                </w:tcPr>
                <w:p w:rsidR="00BB3256" w:rsidRPr="00570524" w:rsidRDefault="00BB3256" w:rsidP="00BB3256">
                  <w:pPr>
                    <w:jc w:val="center"/>
                  </w:pPr>
                </w:p>
              </w:tc>
              <w:tc>
                <w:tcPr>
                  <w:tcW w:w="473" w:type="dxa"/>
                  <w:shd w:val="clear" w:color="auto" w:fill="A6A6A6" w:themeFill="background1" w:themeFillShade="A6"/>
                  <w:vAlign w:val="center"/>
                </w:tcPr>
                <w:p w:rsidR="00BB3256" w:rsidRPr="00570524" w:rsidRDefault="00BB3256" w:rsidP="00BB3256">
                  <w:pPr>
                    <w:jc w:val="center"/>
                  </w:pPr>
                </w:p>
              </w:tc>
              <w:tc>
                <w:tcPr>
                  <w:tcW w:w="537" w:type="dxa"/>
                  <w:shd w:val="clear" w:color="auto" w:fill="A6A6A6" w:themeFill="background1" w:themeFillShade="A6"/>
                  <w:vAlign w:val="center"/>
                </w:tcPr>
                <w:p w:rsidR="00BB3256" w:rsidRPr="00570524" w:rsidRDefault="00BB3256" w:rsidP="00BB3256">
                  <w:pPr>
                    <w:jc w:val="center"/>
                  </w:pPr>
                </w:p>
              </w:tc>
              <w:tc>
                <w:tcPr>
                  <w:tcW w:w="551" w:type="dxa"/>
                  <w:shd w:val="clear" w:color="auto" w:fill="A6A6A6" w:themeFill="background1" w:themeFillShade="A6"/>
                  <w:vAlign w:val="center"/>
                </w:tcPr>
                <w:p w:rsidR="00BB3256" w:rsidRPr="00570524" w:rsidRDefault="00BB3256" w:rsidP="00BB3256">
                  <w:pPr>
                    <w:jc w:val="center"/>
                  </w:pPr>
                </w:p>
              </w:tc>
            </w:tr>
            <w:tr w:rsidR="00BB3256" w:rsidRPr="00570524" w:rsidTr="00D96BEA">
              <w:tc>
                <w:tcPr>
                  <w:tcW w:w="4213" w:type="dxa"/>
                </w:tcPr>
                <w:p w:rsidR="00BB3256" w:rsidRPr="00570524" w:rsidRDefault="00BB3256" w:rsidP="00BB3256">
                  <w:r>
                    <w:t>Task 5:</w:t>
                  </w:r>
                  <w:r w:rsidR="00DC75E8">
                    <w:t xml:space="preserve"> Support Work Plan and Project Dev.</w:t>
                  </w:r>
                </w:p>
              </w:tc>
              <w:tc>
                <w:tcPr>
                  <w:tcW w:w="1057" w:type="dxa"/>
                  <w:vAlign w:val="center"/>
                </w:tcPr>
                <w:p w:rsidR="00BB3256" w:rsidRDefault="00281929" w:rsidP="00BB3256">
                  <w:pPr>
                    <w:jc w:val="center"/>
                  </w:pPr>
                  <w:r>
                    <w:t>45</w:t>
                  </w:r>
                  <w:r w:rsidR="00D96BEA">
                    <w:t>%</w:t>
                  </w:r>
                </w:p>
              </w:tc>
              <w:tc>
                <w:tcPr>
                  <w:tcW w:w="538" w:type="dxa"/>
                  <w:shd w:val="clear" w:color="auto" w:fill="A6A6A6" w:themeFill="background1" w:themeFillShade="A6"/>
                  <w:vAlign w:val="center"/>
                </w:tcPr>
                <w:p w:rsidR="00BB3256" w:rsidRPr="00570524" w:rsidRDefault="00D96BEA" w:rsidP="00BB3256">
                  <w:pPr>
                    <w:jc w:val="center"/>
                  </w:pPr>
                  <w:r>
                    <w:t>X</w:t>
                  </w:r>
                </w:p>
              </w:tc>
              <w:tc>
                <w:tcPr>
                  <w:tcW w:w="510" w:type="dxa"/>
                  <w:shd w:val="clear" w:color="auto" w:fill="A6A6A6" w:themeFill="background1" w:themeFillShade="A6"/>
                </w:tcPr>
                <w:p w:rsidR="00BB3256" w:rsidRPr="00570524" w:rsidRDefault="00D96BEA" w:rsidP="00BB3256">
                  <w:pPr>
                    <w:jc w:val="center"/>
                  </w:pPr>
                  <w:r>
                    <w:t>X</w:t>
                  </w:r>
                </w:p>
              </w:tc>
              <w:tc>
                <w:tcPr>
                  <w:tcW w:w="509" w:type="dxa"/>
                  <w:shd w:val="clear" w:color="auto" w:fill="A6A6A6" w:themeFill="background1" w:themeFillShade="A6"/>
                </w:tcPr>
                <w:p w:rsidR="00BB3256" w:rsidRPr="00570524" w:rsidRDefault="00A86798" w:rsidP="00BB3256">
                  <w:pPr>
                    <w:jc w:val="center"/>
                  </w:pPr>
                  <w:r>
                    <w:t>X</w:t>
                  </w:r>
                </w:p>
              </w:tc>
              <w:tc>
                <w:tcPr>
                  <w:tcW w:w="517" w:type="dxa"/>
                  <w:shd w:val="clear" w:color="auto" w:fill="A6A6A6" w:themeFill="background1" w:themeFillShade="A6"/>
                </w:tcPr>
                <w:p w:rsidR="00BB3256" w:rsidRPr="00570524" w:rsidRDefault="00A86798" w:rsidP="00BB3256">
                  <w:pPr>
                    <w:jc w:val="center"/>
                  </w:pPr>
                  <w:r>
                    <w:t>X</w:t>
                  </w:r>
                </w:p>
              </w:tc>
              <w:tc>
                <w:tcPr>
                  <w:tcW w:w="541" w:type="dxa"/>
                  <w:shd w:val="clear" w:color="auto" w:fill="A6A6A6" w:themeFill="background1" w:themeFillShade="A6"/>
                </w:tcPr>
                <w:p w:rsidR="00BB3256" w:rsidRPr="00570524" w:rsidRDefault="00A86798" w:rsidP="00BB3256">
                  <w:pPr>
                    <w:jc w:val="center"/>
                  </w:pPr>
                  <w:r>
                    <w:t>X</w:t>
                  </w:r>
                </w:p>
              </w:tc>
              <w:tc>
                <w:tcPr>
                  <w:tcW w:w="535" w:type="dxa"/>
                  <w:shd w:val="clear" w:color="auto" w:fill="A6A6A6" w:themeFill="background1" w:themeFillShade="A6"/>
                  <w:vAlign w:val="center"/>
                </w:tcPr>
                <w:p w:rsidR="00BB3256" w:rsidRPr="00570524" w:rsidRDefault="00BB3256" w:rsidP="00BB3256">
                  <w:pPr>
                    <w:jc w:val="center"/>
                  </w:pPr>
                </w:p>
              </w:tc>
              <w:tc>
                <w:tcPr>
                  <w:tcW w:w="562" w:type="dxa"/>
                  <w:shd w:val="clear" w:color="auto" w:fill="A6A6A6" w:themeFill="background1" w:themeFillShade="A6"/>
                  <w:vAlign w:val="center"/>
                </w:tcPr>
                <w:p w:rsidR="00BB3256" w:rsidRPr="00570524" w:rsidRDefault="00BB3256" w:rsidP="00BB3256">
                  <w:pPr>
                    <w:jc w:val="center"/>
                  </w:pPr>
                </w:p>
              </w:tc>
              <w:tc>
                <w:tcPr>
                  <w:tcW w:w="483" w:type="dxa"/>
                  <w:shd w:val="clear" w:color="auto" w:fill="A6A6A6" w:themeFill="background1" w:themeFillShade="A6"/>
                  <w:vAlign w:val="center"/>
                </w:tcPr>
                <w:p w:rsidR="00BB3256" w:rsidRPr="00570524" w:rsidRDefault="00BB3256" w:rsidP="00BB3256">
                  <w:pPr>
                    <w:jc w:val="center"/>
                  </w:pPr>
                </w:p>
              </w:tc>
              <w:tc>
                <w:tcPr>
                  <w:tcW w:w="473" w:type="dxa"/>
                  <w:shd w:val="clear" w:color="auto" w:fill="A6A6A6" w:themeFill="background1" w:themeFillShade="A6"/>
                  <w:vAlign w:val="center"/>
                </w:tcPr>
                <w:p w:rsidR="00BB3256" w:rsidRPr="00570524" w:rsidRDefault="00BB3256" w:rsidP="00BB3256">
                  <w:pPr>
                    <w:jc w:val="center"/>
                  </w:pPr>
                </w:p>
              </w:tc>
              <w:tc>
                <w:tcPr>
                  <w:tcW w:w="537" w:type="dxa"/>
                  <w:shd w:val="clear" w:color="auto" w:fill="A6A6A6" w:themeFill="background1" w:themeFillShade="A6"/>
                  <w:vAlign w:val="center"/>
                </w:tcPr>
                <w:p w:rsidR="00BB3256" w:rsidRPr="00570524" w:rsidRDefault="00BB3256" w:rsidP="00BB3256">
                  <w:pPr>
                    <w:jc w:val="center"/>
                  </w:pPr>
                </w:p>
              </w:tc>
              <w:tc>
                <w:tcPr>
                  <w:tcW w:w="551" w:type="dxa"/>
                  <w:shd w:val="clear" w:color="auto" w:fill="A6A6A6" w:themeFill="background1" w:themeFillShade="A6"/>
                  <w:vAlign w:val="center"/>
                </w:tcPr>
                <w:p w:rsidR="00BB3256" w:rsidRDefault="00BB3256" w:rsidP="00BB3256">
                  <w:pPr>
                    <w:jc w:val="center"/>
                  </w:pPr>
                </w:p>
              </w:tc>
            </w:tr>
            <w:tr w:rsidR="00BB3256" w:rsidRPr="00570524" w:rsidTr="00D96BEA">
              <w:tc>
                <w:tcPr>
                  <w:tcW w:w="4213" w:type="dxa"/>
                </w:tcPr>
                <w:p w:rsidR="00BB3256" w:rsidRPr="00570524" w:rsidRDefault="00BB3256" w:rsidP="00BB3256">
                  <w:r>
                    <w:t>Task 6:</w:t>
                  </w:r>
                  <w:r w:rsidR="00D96BEA">
                    <w:t xml:space="preserve"> Reimburse Travel</w:t>
                  </w:r>
                </w:p>
              </w:tc>
              <w:tc>
                <w:tcPr>
                  <w:tcW w:w="1057" w:type="dxa"/>
                  <w:vAlign w:val="center"/>
                </w:tcPr>
                <w:p w:rsidR="00BB3256" w:rsidRDefault="00D96BEA" w:rsidP="00BB3256">
                  <w:pPr>
                    <w:jc w:val="center"/>
                  </w:pPr>
                  <w:r>
                    <w:t>0%</w:t>
                  </w:r>
                </w:p>
              </w:tc>
              <w:tc>
                <w:tcPr>
                  <w:tcW w:w="538" w:type="dxa"/>
                  <w:shd w:val="clear" w:color="auto" w:fill="auto"/>
                  <w:vAlign w:val="center"/>
                </w:tcPr>
                <w:p w:rsidR="00BB3256" w:rsidRPr="00570524" w:rsidRDefault="00BB3256" w:rsidP="00BB3256">
                  <w:pPr>
                    <w:jc w:val="center"/>
                  </w:pPr>
                </w:p>
              </w:tc>
              <w:tc>
                <w:tcPr>
                  <w:tcW w:w="510" w:type="dxa"/>
                  <w:shd w:val="clear" w:color="auto" w:fill="auto"/>
                </w:tcPr>
                <w:p w:rsidR="00BB3256" w:rsidRPr="00570524" w:rsidRDefault="00BB3256" w:rsidP="00BB3256">
                  <w:pPr>
                    <w:jc w:val="center"/>
                  </w:pPr>
                </w:p>
              </w:tc>
              <w:tc>
                <w:tcPr>
                  <w:tcW w:w="509" w:type="dxa"/>
                  <w:shd w:val="clear" w:color="auto" w:fill="auto"/>
                </w:tcPr>
                <w:p w:rsidR="00BB3256" w:rsidRPr="00570524" w:rsidRDefault="00BB3256" w:rsidP="00BB3256">
                  <w:pPr>
                    <w:jc w:val="center"/>
                  </w:pPr>
                </w:p>
              </w:tc>
              <w:tc>
                <w:tcPr>
                  <w:tcW w:w="517" w:type="dxa"/>
                  <w:shd w:val="clear" w:color="auto" w:fill="auto"/>
                </w:tcPr>
                <w:p w:rsidR="00BB3256" w:rsidRPr="00570524" w:rsidRDefault="00BB3256" w:rsidP="00BB3256">
                  <w:pPr>
                    <w:jc w:val="center"/>
                  </w:pPr>
                </w:p>
              </w:tc>
              <w:tc>
                <w:tcPr>
                  <w:tcW w:w="541" w:type="dxa"/>
                  <w:shd w:val="clear" w:color="auto" w:fill="auto"/>
                </w:tcPr>
                <w:p w:rsidR="00BB3256" w:rsidRPr="00570524" w:rsidRDefault="00BB3256" w:rsidP="00BB3256">
                  <w:pPr>
                    <w:jc w:val="center"/>
                  </w:pPr>
                </w:p>
              </w:tc>
              <w:tc>
                <w:tcPr>
                  <w:tcW w:w="535" w:type="dxa"/>
                  <w:shd w:val="clear" w:color="auto" w:fill="auto"/>
                  <w:vAlign w:val="center"/>
                </w:tcPr>
                <w:p w:rsidR="00BB3256" w:rsidRPr="00570524" w:rsidRDefault="00BB3256" w:rsidP="00BB3256">
                  <w:pPr>
                    <w:jc w:val="center"/>
                  </w:pPr>
                </w:p>
              </w:tc>
              <w:tc>
                <w:tcPr>
                  <w:tcW w:w="562" w:type="dxa"/>
                  <w:shd w:val="clear" w:color="auto" w:fill="A6A6A6" w:themeFill="background1" w:themeFillShade="A6"/>
                  <w:vAlign w:val="center"/>
                </w:tcPr>
                <w:p w:rsidR="00BB3256" w:rsidRPr="00570524" w:rsidRDefault="00BB3256" w:rsidP="00BB3256">
                  <w:pPr>
                    <w:jc w:val="center"/>
                  </w:pPr>
                </w:p>
              </w:tc>
              <w:tc>
                <w:tcPr>
                  <w:tcW w:w="483" w:type="dxa"/>
                  <w:shd w:val="clear" w:color="auto" w:fill="A6A6A6" w:themeFill="background1" w:themeFillShade="A6"/>
                  <w:vAlign w:val="center"/>
                </w:tcPr>
                <w:p w:rsidR="00BB3256" w:rsidRPr="00570524" w:rsidRDefault="00BB3256" w:rsidP="00BB3256">
                  <w:pPr>
                    <w:jc w:val="center"/>
                  </w:pPr>
                </w:p>
              </w:tc>
              <w:tc>
                <w:tcPr>
                  <w:tcW w:w="473" w:type="dxa"/>
                  <w:shd w:val="clear" w:color="auto" w:fill="A6A6A6" w:themeFill="background1" w:themeFillShade="A6"/>
                  <w:vAlign w:val="center"/>
                </w:tcPr>
                <w:p w:rsidR="00BB3256" w:rsidRPr="00570524" w:rsidRDefault="00BB3256" w:rsidP="00BB3256">
                  <w:pPr>
                    <w:jc w:val="center"/>
                  </w:pPr>
                </w:p>
              </w:tc>
              <w:tc>
                <w:tcPr>
                  <w:tcW w:w="537" w:type="dxa"/>
                  <w:shd w:val="clear" w:color="auto" w:fill="A6A6A6" w:themeFill="background1" w:themeFillShade="A6"/>
                  <w:vAlign w:val="center"/>
                </w:tcPr>
                <w:p w:rsidR="00BB3256" w:rsidRPr="00570524" w:rsidRDefault="00BB3256" w:rsidP="00BB3256">
                  <w:pPr>
                    <w:jc w:val="center"/>
                  </w:pPr>
                </w:p>
              </w:tc>
              <w:tc>
                <w:tcPr>
                  <w:tcW w:w="551" w:type="dxa"/>
                  <w:shd w:val="clear" w:color="auto" w:fill="auto"/>
                  <w:vAlign w:val="center"/>
                </w:tcPr>
                <w:p w:rsidR="00BB3256" w:rsidRDefault="00BB3256" w:rsidP="00BB3256">
                  <w:pPr>
                    <w:jc w:val="center"/>
                  </w:pPr>
                </w:p>
              </w:tc>
            </w:tr>
          </w:tbl>
          <w:p w:rsidR="00BB3256" w:rsidRDefault="00BB3256" w:rsidP="00551D8A">
            <w:pPr>
              <w:ind w:right="-720"/>
              <w:rPr>
                <w:rFonts w:ascii="Arial" w:hAnsi="Arial" w:cs="Arial"/>
                <w:sz w:val="20"/>
                <w:szCs w:val="20"/>
              </w:rPr>
            </w:pPr>
          </w:p>
          <w:p w:rsidR="00601EBD" w:rsidRDefault="00601EBD" w:rsidP="00551D8A">
            <w:pPr>
              <w:ind w:right="-720"/>
              <w:rPr>
                <w:rFonts w:ascii="Arial" w:hAnsi="Arial" w:cs="Arial"/>
                <w:sz w:val="20"/>
                <w:szCs w:val="20"/>
              </w:rPr>
            </w:pPr>
          </w:p>
        </w:tc>
      </w:tr>
      <w:tr w:rsidR="00601EBD" w:rsidTr="00EA399C">
        <w:tc>
          <w:tcPr>
            <w:tcW w:w="11252" w:type="dxa"/>
          </w:tcPr>
          <w:p w:rsidR="009C0FAF" w:rsidRDefault="009C0FA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rsidR="00601EBD" w:rsidRDefault="00601EBD" w:rsidP="00551D8A">
            <w:pPr>
              <w:ind w:right="-720"/>
              <w:rPr>
                <w:rFonts w:ascii="Arial" w:hAnsi="Arial" w:cs="Arial"/>
                <w:sz w:val="20"/>
                <w:szCs w:val="20"/>
              </w:rPr>
            </w:pPr>
          </w:p>
          <w:p w:rsidR="00D96BEA" w:rsidRPr="00C54D9A" w:rsidRDefault="00D96BEA" w:rsidP="00D96BEA">
            <w:pPr>
              <w:ind w:right="-720"/>
              <w:rPr>
                <w:rFonts w:ascii="Arial" w:hAnsi="Arial" w:cs="Arial"/>
                <w:sz w:val="20"/>
                <w:szCs w:val="20"/>
                <w:u w:val="single"/>
              </w:rPr>
            </w:pPr>
            <w:r w:rsidRPr="00C54D9A">
              <w:rPr>
                <w:rFonts w:ascii="Arial" w:hAnsi="Arial" w:cs="Arial"/>
                <w:sz w:val="20"/>
                <w:szCs w:val="20"/>
                <w:u w:val="single"/>
              </w:rPr>
              <w:t>Meetings</w:t>
            </w:r>
          </w:p>
          <w:p w:rsidR="00247480" w:rsidRDefault="00E71993" w:rsidP="00551D8A">
            <w:pPr>
              <w:ind w:right="-720"/>
              <w:rPr>
                <w:rFonts w:ascii="Arial" w:hAnsi="Arial" w:cs="Arial"/>
                <w:sz w:val="20"/>
                <w:szCs w:val="20"/>
              </w:rPr>
            </w:pPr>
            <w:r>
              <w:rPr>
                <w:rFonts w:ascii="Arial" w:hAnsi="Arial" w:cs="Arial"/>
                <w:sz w:val="20"/>
                <w:szCs w:val="20"/>
              </w:rPr>
              <w:t>May 20th</w:t>
            </w:r>
          </w:p>
          <w:p w:rsidR="00601EBD" w:rsidRPr="005D493E" w:rsidRDefault="00D96BEA" w:rsidP="00551D8A">
            <w:pPr>
              <w:ind w:right="-720"/>
              <w:rPr>
                <w:rFonts w:ascii="Arial" w:hAnsi="Arial" w:cs="Arial"/>
                <w:i/>
                <w:sz w:val="20"/>
                <w:szCs w:val="20"/>
              </w:rPr>
            </w:pPr>
            <w:r w:rsidRPr="005D493E">
              <w:rPr>
                <w:rFonts w:ascii="Arial" w:hAnsi="Arial" w:cs="Arial"/>
                <w:i/>
                <w:sz w:val="20"/>
                <w:szCs w:val="20"/>
              </w:rPr>
              <w:t>Quarter</w:t>
            </w:r>
            <w:r w:rsidR="00247480" w:rsidRPr="005D493E">
              <w:rPr>
                <w:rFonts w:ascii="Arial" w:hAnsi="Arial" w:cs="Arial"/>
                <w:i/>
                <w:sz w:val="20"/>
                <w:szCs w:val="20"/>
              </w:rPr>
              <w:t>ly meeting</w:t>
            </w:r>
          </w:p>
          <w:p w:rsidR="00247480" w:rsidRDefault="0066446F" w:rsidP="00247480">
            <w:pPr>
              <w:pStyle w:val="ListParagraph"/>
              <w:numPr>
                <w:ilvl w:val="0"/>
                <w:numId w:val="4"/>
              </w:numPr>
              <w:ind w:right="-720"/>
              <w:rPr>
                <w:rFonts w:ascii="Arial" w:hAnsi="Arial" w:cs="Arial"/>
                <w:sz w:val="20"/>
                <w:szCs w:val="20"/>
              </w:rPr>
            </w:pPr>
            <w:r>
              <w:rPr>
                <w:rFonts w:ascii="Arial" w:hAnsi="Arial" w:cs="Arial"/>
                <w:sz w:val="20"/>
                <w:szCs w:val="20"/>
              </w:rPr>
              <w:t>Develop an</w:t>
            </w:r>
            <w:r w:rsidR="00247480">
              <w:rPr>
                <w:rFonts w:ascii="Arial" w:hAnsi="Arial" w:cs="Arial"/>
                <w:sz w:val="20"/>
                <w:szCs w:val="20"/>
              </w:rPr>
              <w:t xml:space="preserve"> agenda</w:t>
            </w:r>
          </w:p>
          <w:p w:rsidR="00247480" w:rsidRDefault="00247480" w:rsidP="00247480">
            <w:pPr>
              <w:pStyle w:val="ListParagraph"/>
              <w:numPr>
                <w:ilvl w:val="0"/>
                <w:numId w:val="4"/>
              </w:numPr>
              <w:ind w:right="-720"/>
              <w:rPr>
                <w:rFonts w:ascii="Arial" w:hAnsi="Arial" w:cs="Arial"/>
                <w:sz w:val="20"/>
                <w:szCs w:val="20"/>
              </w:rPr>
            </w:pPr>
            <w:r>
              <w:rPr>
                <w:rFonts w:ascii="Arial" w:hAnsi="Arial" w:cs="Arial"/>
                <w:sz w:val="20"/>
                <w:szCs w:val="20"/>
              </w:rPr>
              <w:t xml:space="preserve">Plans to discuss </w:t>
            </w:r>
            <w:r w:rsidR="00E71993">
              <w:rPr>
                <w:rFonts w:ascii="Arial" w:hAnsi="Arial" w:cs="Arial"/>
                <w:sz w:val="20"/>
                <w:szCs w:val="20"/>
              </w:rPr>
              <w:t>determine in person meeting time</w:t>
            </w:r>
          </w:p>
          <w:p w:rsidR="00E71993" w:rsidRPr="00247480" w:rsidRDefault="00E71993" w:rsidP="00247480">
            <w:pPr>
              <w:pStyle w:val="ListParagraph"/>
              <w:numPr>
                <w:ilvl w:val="0"/>
                <w:numId w:val="4"/>
              </w:numPr>
              <w:ind w:right="-720"/>
              <w:rPr>
                <w:rFonts w:ascii="Arial" w:hAnsi="Arial" w:cs="Arial"/>
                <w:sz w:val="20"/>
                <w:szCs w:val="20"/>
              </w:rPr>
            </w:pPr>
            <w:r>
              <w:rPr>
                <w:rFonts w:ascii="Arial" w:hAnsi="Arial" w:cs="Arial"/>
                <w:sz w:val="20"/>
                <w:szCs w:val="20"/>
              </w:rPr>
              <w:t>Discuss two projects</w:t>
            </w:r>
          </w:p>
          <w:p w:rsidR="00601EBD" w:rsidRDefault="00601EBD" w:rsidP="00551D8A">
            <w:pPr>
              <w:ind w:right="-720"/>
              <w:rPr>
                <w:rFonts w:ascii="Arial" w:hAnsi="Arial" w:cs="Arial"/>
                <w:sz w:val="20"/>
                <w:szCs w:val="20"/>
              </w:rPr>
            </w:pPr>
          </w:p>
          <w:p w:rsidR="00D96BEA" w:rsidRPr="00C54D9A" w:rsidRDefault="00D96BEA" w:rsidP="00D96BEA">
            <w:pPr>
              <w:ind w:right="-720"/>
              <w:rPr>
                <w:rFonts w:ascii="Arial" w:hAnsi="Arial" w:cs="Arial"/>
                <w:sz w:val="20"/>
                <w:szCs w:val="20"/>
                <w:u w:val="single"/>
              </w:rPr>
            </w:pPr>
            <w:r w:rsidRPr="00C54D9A">
              <w:rPr>
                <w:rFonts w:ascii="Arial" w:hAnsi="Arial" w:cs="Arial"/>
                <w:sz w:val="20"/>
                <w:szCs w:val="20"/>
                <w:u w:val="single"/>
              </w:rPr>
              <w:t>Contract Status</w:t>
            </w:r>
          </w:p>
          <w:p w:rsidR="00D96BEA" w:rsidRDefault="00D96BEA" w:rsidP="00D96BEA">
            <w:pPr>
              <w:ind w:right="-720"/>
              <w:rPr>
                <w:rFonts w:ascii="Arial" w:hAnsi="Arial" w:cs="Arial"/>
                <w:sz w:val="20"/>
                <w:szCs w:val="20"/>
              </w:rPr>
            </w:pPr>
          </w:p>
          <w:p w:rsidR="00D96BEA" w:rsidRPr="009764BF" w:rsidRDefault="00D96BEA" w:rsidP="00D96BEA">
            <w:pPr>
              <w:ind w:right="-720"/>
              <w:rPr>
                <w:rFonts w:ascii="Arial" w:hAnsi="Arial" w:cs="Arial"/>
                <w:i/>
                <w:sz w:val="20"/>
                <w:szCs w:val="20"/>
              </w:rPr>
            </w:pPr>
            <w:r w:rsidRPr="009764BF">
              <w:rPr>
                <w:rFonts w:ascii="Arial" w:hAnsi="Arial" w:cs="Arial"/>
                <w:i/>
                <w:sz w:val="20"/>
                <w:szCs w:val="20"/>
              </w:rPr>
              <w:t>Program Support Contract 8882-309</w:t>
            </w:r>
            <w:r w:rsidR="0066446F">
              <w:rPr>
                <w:rFonts w:ascii="Arial" w:hAnsi="Arial" w:cs="Arial"/>
                <w:i/>
                <w:sz w:val="20"/>
                <w:szCs w:val="20"/>
              </w:rPr>
              <w:t>-01</w:t>
            </w:r>
          </w:p>
          <w:p w:rsidR="00601EBD" w:rsidRDefault="00C83A6C" w:rsidP="00C83A6C">
            <w:pPr>
              <w:pStyle w:val="ListParagraph"/>
              <w:numPr>
                <w:ilvl w:val="0"/>
                <w:numId w:val="5"/>
              </w:numPr>
              <w:ind w:right="-720"/>
              <w:rPr>
                <w:rFonts w:ascii="Arial" w:hAnsi="Arial" w:cs="Arial"/>
                <w:sz w:val="20"/>
                <w:szCs w:val="20"/>
              </w:rPr>
            </w:pPr>
            <w:r>
              <w:rPr>
                <w:rFonts w:ascii="Arial" w:hAnsi="Arial" w:cs="Arial"/>
                <w:sz w:val="20"/>
                <w:szCs w:val="20"/>
              </w:rPr>
              <w:t>Submit Quarterly report to MDT for review and approval</w:t>
            </w:r>
          </w:p>
          <w:p w:rsidR="00C83A6C" w:rsidRDefault="00C83A6C" w:rsidP="00C83A6C">
            <w:pPr>
              <w:pStyle w:val="ListParagraph"/>
              <w:numPr>
                <w:ilvl w:val="0"/>
                <w:numId w:val="5"/>
              </w:numPr>
              <w:ind w:right="-720"/>
              <w:rPr>
                <w:rFonts w:ascii="Arial" w:hAnsi="Arial" w:cs="Arial"/>
                <w:sz w:val="20"/>
                <w:szCs w:val="20"/>
              </w:rPr>
            </w:pPr>
            <w:r>
              <w:rPr>
                <w:rFonts w:ascii="Arial" w:hAnsi="Arial" w:cs="Arial"/>
                <w:sz w:val="20"/>
                <w:szCs w:val="20"/>
              </w:rPr>
              <w:t xml:space="preserve">Provide meeting support for </w:t>
            </w:r>
            <w:r w:rsidR="00A86798">
              <w:rPr>
                <w:rFonts w:ascii="Arial" w:hAnsi="Arial" w:cs="Arial"/>
                <w:sz w:val="20"/>
                <w:szCs w:val="20"/>
              </w:rPr>
              <w:t>May</w:t>
            </w:r>
            <w:r>
              <w:rPr>
                <w:rFonts w:ascii="Arial" w:hAnsi="Arial" w:cs="Arial"/>
                <w:sz w:val="20"/>
                <w:szCs w:val="20"/>
              </w:rPr>
              <w:t xml:space="preserve"> meetings</w:t>
            </w:r>
          </w:p>
          <w:p w:rsidR="00C83A6C" w:rsidRDefault="00C83A6C" w:rsidP="00C83A6C">
            <w:pPr>
              <w:pStyle w:val="ListParagraph"/>
              <w:numPr>
                <w:ilvl w:val="0"/>
                <w:numId w:val="5"/>
              </w:numPr>
              <w:ind w:right="-720"/>
              <w:rPr>
                <w:rFonts w:ascii="Arial" w:hAnsi="Arial" w:cs="Arial"/>
                <w:sz w:val="20"/>
                <w:szCs w:val="20"/>
              </w:rPr>
            </w:pPr>
            <w:r>
              <w:rPr>
                <w:rFonts w:ascii="Arial" w:hAnsi="Arial" w:cs="Arial"/>
                <w:sz w:val="20"/>
                <w:szCs w:val="20"/>
              </w:rPr>
              <w:t xml:space="preserve">Begin planning in person meeting </w:t>
            </w:r>
            <w:r w:rsidR="00A86798">
              <w:rPr>
                <w:rFonts w:ascii="Arial" w:hAnsi="Arial" w:cs="Arial"/>
                <w:sz w:val="20"/>
                <w:szCs w:val="20"/>
              </w:rPr>
              <w:t>once timeline is determined</w:t>
            </w:r>
          </w:p>
          <w:p w:rsidR="00C83A6C" w:rsidRDefault="00C83A6C" w:rsidP="00C83A6C">
            <w:pPr>
              <w:pStyle w:val="ListParagraph"/>
              <w:numPr>
                <w:ilvl w:val="0"/>
                <w:numId w:val="5"/>
              </w:numPr>
              <w:ind w:right="-720"/>
              <w:rPr>
                <w:rFonts w:ascii="Arial" w:hAnsi="Arial" w:cs="Arial"/>
                <w:sz w:val="20"/>
                <w:szCs w:val="20"/>
              </w:rPr>
            </w:pPr>
            <w:r>
              <w:rPr>
                <w:rFonts w:ascii="Arial" w:hAnsi="Arial" w:cs="Arial"/>
                <w:sz w:val="20"/>
                <w:szCs w:val="20"/>
              </w:rPr>
              <w:t>Continue outreach and awareness</w:t>
            </w:r>
          </w:p>
          <w:p w:rsidR="00A86798" w:rsidRPr="00A86798" w:rsidRDefault="00A86798" w:rsidP="00A86798">
            <w:pPr>
              <w:pStyle w:val="ListParagraph"/>
              <w:numPr>
                <w:ilvl w:val="0"/>
                <w:numId w:val="5"/>
              </w:numPr>
              <w:ind w:right="-720"/>
              <w:rPr>
                <w:rFonts w:ascii="Arial" w:hAnsi="Arial" w:cs="Arial"/>
                <w:sz w:val="20"/>
                <w:szCs w:val="20"/>
              </w:rPr>
            </w:pPr>
            <w:r>
              <w:rPr>
                <w:rFonts w:ascii="Arial" w:hAnsi="Arial" w:cs="Arial"/>
                <w:sz w:val="20"/>
                <w:szCs w:val="20"/>
              </w:rPr>
              <w:t>Submit official project proposals to MDT to move into contract</w:t>
            </w:r>
          </w:p>
          <w:p w:rsidR="00601EBD" w:rsidRDefault="00601EBD" w:rsidP="00C83A6C">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601EBD" w:rsidRDefault="00601EBD" w:rsidP="00551D8A">
            <w:pPr>
              <w:ind w:right="-720"/>
              <w:rPr>
                <w:rFonts w:ascii="Arial" w:hAnsi="Arial" w:cs="Arial"/>
                <w:b/>
                <w:sz w:val="20"/>
                <w:szCs w:val="20"/>
              </w:rPr>
            </w:pPr>
            <w:r>
              <w:rPr>
                <w:rFonts w:ascii="Arial" w:hAnsi="Arial" w:cs="Arial"/>
                <w:b/>
                <w:sz w:val="20"/>
                <w:szCs w:val="20"/>
              </w:rPr>
              <w:t>Significant Results:</w:t>
            </w:r>
          </w:p>
          <w:p w:rsidR="00601EBD" w:rsidRDefault="00601EBD" w:rsidP="00551D8A">
            <w:pPr>
              <w:ind w:right="-720"/>
              <w:rPr>
                <w:rFonts w:ascii="Arial" w:hAnsi="Arial" w:cs="Arial"/>
                <w:b/>
                <w:sz w:val="20"/>
                <w:szCs w:val="20"/>
              </w:rPr>
            </w:pPr>
          </w:p>
          <w:p w:rsidR="00C83A6C" w:rsidRDefault="009C0FAF" w:rsidP="009C0FAF">
            <w:pPr>
              <w:pStyle w:val="ListParagraph"/>
              <w:numPr>
                <w:ilvl w:val="0"/>
                <w:numId w:val="9"/>
              </w:numPr>
              <w:ind w:right="-720"/>
              <w:rPr>
                <w:rFonts w:ascii="Arial" w:hAnsi="Arial" w:cs="Arial"/>
                <w:sz w:val="20"/>
                <w:szCs w:val="20"/>
              </w:rPr>
            </w:pPr>
            <w:r>
              <w:rPr>
                <w:rFonts w:ascii="Arial" w:hAnsi="Arial" w:cs="Arial"/>
                <w:sz w:val="20"/>
                <w:szCs w:val="20"/>
              </w:rPr>
              <w:lastRenderedPageBreak/>
              <w:t>Board chose to move forward with the Cannabis Culture and Engagement in Traffic Safety projects</w:t>
            </w:r>
          </w:p>
          <w:p w:rsidR="009C0FAF" w:rsidRPr="009C0FAF" w:rsidRDefault="009C0FAF" w:rsidP="009C0FAF">
            <w:pPr>
              <w:pStyle w:val="ListParagraph"/>
              <w:numPr>
                <w:ilvl w:val="0"/>
                <w:numId w:val="9"/>
              </w:numPr>
              <w:ind w:right="-720"/>
              <w:rPr>
                <w:rFonts w:ascii="Arial" w:hAnsi="Arial" w:cs="Arial"/>
                <w:sz w:val="20"/>
                <w:szCs w:val="20"/>
              </w:rPr>
            </w:pPr>
            <w:r>
              <w:rPr>
                <w:rFonts w:ascii="Arial" w:hAnsi="Arial" w:cs="Arial"/>
                <w:sz w:val="20"/>
                <w:szCs w:val="20"/>
              </w:rPr>
              <w:t>The Center is working to put these projects into the official MDT format</w:t>
            </w:r>
          </w:p>
          <w:p w:rsidR="00601EBD" w:rsidRDefault="00601EBD" w:rsidP="00C83A6C">
            <w:pPr>
              <w:ind w:right="-720"/>
              <w:rPr>
                <w:rFonts w:ascii="Arial" w:hAnsi="Arial" w:cs="Arial"/>
                <w:b/>
                <w:sz w:val="20"/>
                <w:szCs w:val="20"/>
              </w:rPr>
            </w:pPr>
          </w:p>
        </w:tc>
      </w:tr>
      <w:tr w:rsidR="00601EBD" w:rsidTr="00601EBD">
        <w:tc>
          <w:tcPr>
            <w:tcW w:w="10908" w:type="dxa"/>
          </w:tcPr>
          <w:p w:rsidR="00E35E0F" w:rsidRDefault="00E35E0F" w:rsidP="00551D8A">
            <w:pPr>
              <w:ind w:right="-720"/>
              <w:rPr>
                <w:rFonts w:ascii="Arial" w:hAnsi="Arial" w:cs="Arial"/>
                <w:b/>
                <w:sz w:val="20"/>
                <w:szCs w:val="20"/>
              </w:rPr>
            </w:pPr>
          </w:p>
          <w:p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rsidR="00E35E0F"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rsidR="00601EBD" w:rsidRDefault="00601EBD" w:rsidP="00551D8A">
            <w:pPr>
              <w:ind w:right="-720"/>
              <w:rPr>
                <w:rFonts w:ascii="Arial" w:hAnsi="Arial" w:cs="Arial"/>
                <w:sz w:val="20"/>
                <w:szCs w:val="20"/>
              </w:rPr>
            </w:pPr>
            <w:r>
              <w:rPr>
                <w:rFonts w:ascii="Arial" w:hAnsi="Arial" w:cs="Arial"/>
                <w:b/>
                <w:sz w:val="20"/>
                <w:szCs w:val="20"/>
              </w:rPr>
              <w:t>agreement, along with recommended solutions to those problems).</w:t>
            </w:r>
            <w:r w:rsidR="003835B9">
              <w:rPr>
                <w:rFonts w:ascii="Arial" w:hAnsi="Arial" w:cs="Arial"/>
                <w:b/>
                <w:sz w:val="20"/>
                <w:szCs w:val="20"/>
              </w:rPr>
              <w:t xml:space="preserve">  </w:t>
            </w:r>
            <w:r w:rsidR="00C83A6C" w:rsidRPr="00C83A6C">
              <w:rPr>
                <w:rFonts w:ascii="Arial" w:hAnsi="Arial" w:cs="Arial"/>
                <w:sz w:val="20"/>
                <w:szCs w:val="20"/>
              </w:rPr>
              <w:t>None</w:t>
            </w:r>
          </w:p>
          <w:p w:rsidR="003835B9" w:rsidRPr="003835B9" w:rsidRDefault="003835B9" w:rsidP="00551D8A">
            <w:pPr>
              <w:ind w:right="-720"/>
              <w:rPr>
                <w:rFonts w:ascii="Arial" w:hAnsi="Arial" w:cs="Arial"/>
                <w:b/>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rsidTr="00E35E0F">
        <w:tc>
          <w:tcPr>
            <w:tcW w:w="10908" w:type="dxa"/>
          </w:tcPr>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r w:rsidR="003835B9">
              <w:rPr>
                <w:rFonts w:ascii="Arial" w:hAnsi="Arial" w:cs="Arial"/>
                <w:sz w:val="20"/>
                <w:szCs w:val="20"/>
              </w:rPr>
              <w:t>None at this time.</w:t>
            </w:r>
          </w:p>
          <w:p w:rsidR="00E35E0F" w:rsidRDefault="00E35E0F" w:rsidP="00551D8A">
            <w:pPr>
              <w:ind w:right="-720"/>
              <w:rPr>
                <w:rFonts w:ascii="Arial" w:hAnsi="Arial" w:cs="Arial"/>
                <w:sz w:val="20"/>
                <w:szCs w:val="20"/>
              </w:rPr>
            </w:pPr>
          </w:p>
        </w:tc>
      </w:tr>
    </w:tbl>
    <w:p w:rsidR="00E35E0F" w:rsidRPr="00743C01" w:rsidRDefault="00E35E0F" w:rsidP="006A49C3">
      <w:pPr>
        <w:spacing w:after="0"/>
        <w:ind w:right="-720"/>
        <w:rPr>
          <w:rFonts w:ascii="Arial" w:hAnsi="Arial" w:cs="Arial"/>
          <w:sz w:val="20"/>
          <w:szCs w:val="20"/>
        </w:rPr>
      </w:pPr>
    </w:p>
    <w:sectPr w:rsidR="00E35E0F" w:rsidRPr="00743C01" w:rsidSect="004E14DC">
      <w:footerReference w:type="default" r:id="rId10"/>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1298" w:rsidRDefault="00DB1298" w:rsidP="00106C83">
      <w:pPr>
        <w:spacing w:after="0" w:line="240" w:lineRule="auto"/>
      </w:pPr>
      <w:r>
        <w:separator/>
      </w:r>
    </w:p>
  </w:endnote>
  <w:endnote w:type="continuationSeparator" w:id="0">
    <w:p w:rsidR="00DB1298" w:rsidRDefault="00DB1298"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3875" w:rsidRDefault="00A43875" w:rsidP="00E371D1">
    <w:pPr>
      <w:pStyle w:val="Footer"/>
      <w:ind w:left="-810"/>
    </w:pPr>
    <w:r>
      <w:t>TPF Program Standard Qua</w:t>
    </w:r>
    <w:r w:rsidR="00E371D1">
      <w:t>rterly Reporting Format – 7/2011</w:t>
    </w:r>
  </w:p>
  <w:p w:rsidR="00A43875" w:rsidRDefault="00A438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1298" w:rsidRDefault="00DB1298" w:rsidP="00106C83">
      <w:pPr>
        <w:spacing w:after="0" w:line="240" w:lineRule="auto"/>
      </w:pPr>
      <w:r>
        <w:separator/>
      </w:r>
    </w:p>
  </w:footnote>
  <w:footnote w:type="continuationSeparator" w:id="0">
    <w:p w:rsidR="00DB1298" w:rsidRDefault="00DB1298" w:rsidP="00106C83">
      <w:pPr>
        <w:spacing w:after="0" w:line="240" w:lineRule="auto"/>
      </w:pPr>
      <w:r>
        <w:continuationSeparator/>
      </w:r>
    </w:p>
  </w:footnote>
  <w:footnote w:id="1">
    <w:p w:rsidR="00D7379C" w:rsidRDefault="00D7379C" w:rsidP="00D7379C">
      <w:pPr>
        <w:pStyle w:val="FootnoteText"/>
      </w:pPr>
      <w:r>
        <w:rPr>
          <w:rStyle w:val="FootnoteReference"/>
        </w:rPr>
        <w:footnoteRef/>
      </w:r>
      <w:r>
        <w:t xml:space="preserve"> The expenditures included in the </w:t>
      </w:r>
      <w:r w:rsidR="00A14B1E">
        <w:t>project statistics</w:t>
      </w:r>
      <w:r>
        <w:t xml:space="preserve"> are actual expenditures by MSU as of </w:t>
      </w:r>
      <w:r w:rsidR="00A14B1E">
        <w:t>March 3</w:t>
      </w:r>
      <w:r>
        <w:t>1</w:t>
      </w:r>
      <w:r>
        <w:rPr>
          <w:vertAlign w:val="superscript"/>
        </w:rPr>
        <w:t>st</w:t>
      </w:r>
      <w:r w:rsidR="00E87A8B">
        <w:t xml:space="preserve"> and MDT IDCs through March 31</w:t>
      </w:r>
      <w:r w:rsidR="00E87A8B" w:rsidRPr="00E87A8B">
        <w:rPr>
          <w:vertAlign w:val="superscript"/>
        </w:rPr>
        <w:t>st</w:t>
      </w:r>
      <w:r w:rsidR="00E87A8B">
        <w:t xml:space="preserve"> expenditures.</w:t>
      </w:r>
      <w:r>
        <w:t xml:space="preserve"> It is important to note that salaries and benefits for a given month are not reported until the subsequent month (thus this report does not include salary and benefits for </w:t>
      </w:r>
      <w:r w:rsidR="00E71993">
        <w:t>March</w:t>
      </w:r>
      <w:r>
        <w:t xml:space="preserve">). </w:t>
      </w:r>
    </w:p>
    <w:p w:rsidR="00D7379C" w:rsidRDefault="00D7379C">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9038D"/>
    <w:multiLevelType w:val="hybridMultilevel"/>
    <w:tmpl w:val="B36E0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6216C71"/>
    <w:multiLevelType w:val="hybridMultilevel"/>
    <w:tmpl w:val="E3980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E13920"/>
    <w:multiLevelType w:val="hybridMultilevel"/>
    <w:tmpl w:val="E9CA9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97F6EC5"/>
    <w:multiLevelType w:val="hybridMultilevel"/>
    <w:tmpl w:val="AAC28244"/>
    <w:lvl w:ilvl="0" w:tplc="19400C10">
      <w:start w:val="1"/>
      <w:numFmt w:val="decimal"/>
      <w:lvlText w:val="%1."/>
      <w:lvlJc w:val="left"/>
      <w:pPr>
        <w:ind w:left="720" w:hanging="360"/>
      </w:pPr>
      <w:rPr>
        <w:rFonts w:ascii="Arial" w:eastAsiaTheme="minorEastAsia"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D9C3EEC"/>
    <w:multiLevelType w:val="hybridMultilevel"/>
    <w:tmpl w:val="2DF6B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5F2215D"/>
    <w:multiLevelType w:val="hybridMultilevel"/>
    <w:tmpl w:val="6EE00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E6369BE"/>
    <w:multiLevelType w:val="hybridMultilevel"/>
    <w:tmpl w:val="65AE5356"/>
    <w:lvl w:ilvl="0" w:tplc="22F4665C">
      <w:start w:val="2066"/>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2D2787B"/>
    <w:multiLevelType w:val="hybridMultilevel"/>
    <w:tmpl w:val="3D82F3B6"/>
    <w:lvl w:ilvl="0" w:tplc="19400C10">
      <w:start w:val="1"/>
      <w:numFmt w:val="decimal"/>
      <w:lvlText w:val="%1."/>
      <w:lvlJc w:val="left"/>
      <w:pPr>
        <w:ind w:left="720" w:hanging="360"/>
      </w:pPr>
      <w:rPr>
        <w:rFonts w:ascii="Arial" w:eastAsiaTheme="minorEastAsia" w:hAnsi="Arial" w:cs="Arial"/>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B386B60"/>
    <w:multiLevelType w:val="hybridMultilevel"/>
    <w:tmpl w:val="43965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4"/>
  </w:num>
  <w:num w:numId="4">
    <w:abstractNumId w:val="1"/>
  </w:num>
  <w:num w:numId="5">
    <w:abstractNumId w:val="0"/>
  </w:num>
  <w:num w:numId="6">
    <w:abstractNumId w:val="6"/>
  </w:num>
  <w:num w:numId="7">
    <w:abstractNumId w:val="7"/>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proofState w:spelling="clean" w:grammar="clean"/>
  <w:defaultTabStop w:val="720"/>
  <w:drawingGridHorizontalSpacing w:val="110"/>
  <w:displayHorizontalDrawingGridEvery w:val="2"/>
  <w:characterSpacingControl w:val="doNotCompress"/>
  <w:hdrShapeDefaults>
    <o:shapedefaults v:ext="edit" spidmax="3276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D8A"/>
    <w:rsid w:val="00037FBC"/>
    <w:rsid w:val="000736BB"/>
    <w:rsid w:val="000B665A"/>
    <w:rsid w:val="000E21E3"/>
    <w:rsid w:val="00106C83"/>
    <w:rsid w:val="00111480"/>
    <w:rsid w:val="001547D0"/>
    <w:rsid w:val="00161153"/>
    <w:rsid w:val="00184448"/>
    <w:rsid w:val="001C4436"/>
    <w:rsid w:val="001E05A2"/>
    <w:rsid w:val="0021446D"/>
    <w:rsid w:val="00247480"/>
    <w:rsid w:val="00281929"/>
    <w:rsid w:val="002914C0"/>
    <w:rsid w:val="00293FD8"/>
    <w:rsid w:val="002A79C8"/>
    <w:rsid w:val="00325C08"/>
    <w:rsid w:val="00331212"/>
    <w:rsid w:val="003835B9"/>
    <w:rsid w:val="0038705A"/>
    <w:rsid w:val="003F443F"/>
    <w:rsid w:val="004144E6"/>
    <w:rsid w:val="004156B2"/>
    <w:rsid w:val="00437734"/>
    <w:rsid w:val="004E14DC"/>
    <w:rsid w:val="00535598"/>
    <w:rsid w:val="00547EE3"/>
    <w:rsid w:val="00551D8A"/>
    <w:rsid w:val="00581931"/>
    <w:rsid w:val="00581B36"/>
    <w:rsid w:val="00583E8E"/>
    <w:rsid w:val="00592A8A"/>
    <w:rsid w:val="005D493E"/>
    <w:rsid w:val="00601EBD"/>
    <w:rsid w:val="0066446F"/>
    <w:rsid w:val="00682C5E"/>
    <w:rsid w:val="006A49C3"/>
    <w:rsid w:val="006D159A"/>
    <w:rsid w:val="00743C01"/>
    <w:rsid w:val="00790C4A"/>
    <w:rsid w:val="007E4980"/>
    <w:rsid w:val="007E5BD2"/>
    <w:rsid w:val="007F0369"/>
    <w:rsid w:val="00843F69"/>
    <w:rsid w:val="00872F18"/>
    <w:rsid w:val="00874EF7"/>
    <w:rsid w:val="008E2183"/>
    <w:rsid w:val="009127C2"/>
    <w:rsid w:val="00915F8B"/>
    <w:rsid w:val="00942D20"/>
    <w:rsid w:val="009764BF"/>
    <w:rsid w:val="00983F84"/>
    <w:rsid w:val="009C0FAF"/>
    <w:rsid w:val="00A14B1E"/>
    <w:rsid w:val="00A43875"/>
    <w:rsid w:val="00A63677"/>
    <w:rsid w:val="00A80BD8"/>
    <w:rsid w:val="00A86798"/>
    <w:rsid w:val="00AE41CD"/>
    <w:rsid w:val="00AE46B0"/>
    <w:rsid w:val="00B2185C"/>
    <w:rsid w:val="00B242E2"/>
    <w:rsid w:val="00B318BF"/>
    <w:rsid w:val="00B66A21"/>
    <w:rsid w:val="00BB3256"/>
    <w:rsid w:val="00BB4A31"/>
    <w:rsid w:val="00C13753"/>
    <w:rsid w:val="00C261CD"/>
    <w:rsid w:val="00C54D9A"/>
    <w:rsid w:val="00C83A6C"/>
    <w:rsid w:val="00D05DC0"/>
    <w:rsid w:val="00D7379C"/>
    <w:rsid w:val="00D96BEA"/>
    <w:rsid w:val="00DB1298"/>
    <w:rsid w:val="00DC75E8"/>
    <w:rsid w:val="00E35E0F"/>
    <w:rsid w:val="00E371D1"/>
    <w:rsid w:val="00E53738"/>
    <w:rsid w:val="00E71993"/>
    <w:rsid w:val="00E71D85"/>
    <w:rsid w:val="00E874AD"/>
    <w:rsid w:val="00E87A8B"/>
    <w:rsid w:val="00E93544"/>
    <w:rsid w:val="00EA399C"/>
    <w:rsid w:val="00ED5F67"/>
    <w:rsid w:val="00EF08AE"/>
    <w:rsid w:val="00EF5790"/>
    <w:rsid w:val="00F76AF4"/>
    <w:rsid w:val="00FC07A4"/>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34"/>
    <w:qFormat/>
    <w:rsid w:val="00C261CD"/>
    <w:pPr>
      <w:ind w:left="720"/>
      <w:contextualSpacing/>
    </w:pPr>
  </w:style>
  <w:style w:type="character" w:styleId="Hyperlink">
    <w:name w:val="Hyperlink"/>
    <w:basedOn w:val="DefaultParagraphFont"/>
    <w:uiPriority w:val="99"/>
    <w:unhideWhenUsed/>
    <w:rsid w:val="009764BF"/>
    <w:rPr>
      <w:color w:val="0000FF" w:themeColor="hyperlink"/>
      <w:u w:val="single"/>
    </w:rPr>
  </w:style>
  <w:style w:type="paragraph" w:styleId="FootnoteText">
    <w:name w:val="footnote text"/>
    <w:basedOn w:val="Normal"/>
    <w:link w:val="FootnoteTextChar"/>
    <w:uiPriority w:val="99"/>
    <w:unhideWhenUsed/>
    <w:rsid w:val="00D7379C"/>
    <w:pPr>
      <w:spacing w:after="0" w:line="240" w:lineRule="auto"/>
    </w:pPr>
    <w:rPr>
      <w:sz w:val="20"/>
      <w:szCs w:val="20"/>
    </w:rPr>
  </w:style>
  <w:style w:type="character" w:customStyle="1" w:styleId="FootnoteTextChar">
    <w:name w:val="Footnote Text Char"/>
    <w:basedOn w:val="DefaultParagraphFont"/>
    <w:link w:val="FootnoteText"/>
    <w:uiPriority w:val="99"/>
    <w:rsid w:val="00D7379C"/>
    <w:rPr>
      <w:sz w:val="20"/>
      <w:szCs w:val="20"/>
    </w:rPr>
  </w:style>
  <w:style w:type="character" w:styleId="FootnoteReference">
    <w:name w:val="footnote reference"/>
    <w:basedOn w:val="DefaultParagraphFont"/>
    <w:uiPriority w:val="99"/>
    <w:unhideWhenUsed/>
    <w:rsid w:val="00D7379C"/>
    <w:rPr>
      <w:vertAlign w:val="superscript"/>
    </w:rPr>
  </w:style>
  <w:style w:type="character" w:styleId="FollowedHyperlink">
    <w:name w:val="FollowedHyperlink"/>
    <w:basedOn w:val="DefaultParagraphFont"/>
    <w:uiPriority w:val="99"/>
    <w:semiHidden/>
    <w:unhideWhenUsed/>
    <w:rsid w:val="00AE41C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34"/>
    <w:qFormat/>
    <w:rsid w:val="00C261CD"/>
    <w:pPr>
      <w:ind w:left="720"/>
      <w:contextualSpacing/>
    </w:pPr>
  </w:style>
  <w:style w:type="character" w:styleId="Hyperlink">
    <w:name w:val="Hyperlink"/>
    <w:basedOn w:val="DefaultParagraphFont"/>
    <w:uiPriority w:val="99"/>
    <w:unhideWhenUsed/>
    <w:rsid w:val="009764BF"/>
    <w:rPr>
      <w:color w:val="0000FF" w:themeColor="hyperlink"/>
      <w:u w:val="single"/>
    </w:rPr>
  </w:style>
  <w:style w:type="paragraph" w:styleId="FootnoteText">
    <w:name w:val="footnote text"/>
    <w:basedOn w:val="Normal"/>
    <w:link w:val="FootnoteTextChar"/>
    <w:uiPriority w:val="99"/>
    <w:unhideWhenUsed/>
    <w:rsid w:val="00D7379C"/>
    <w:pPr>
      <w:spacing w:after="0" w:line="240" w:lineRule="auto"/>
    </w:pPr>
    <w:rPr>
      <w:sz w:val="20"/>
      <w:szCs w:val="20"/>
    </w:rPr>
  </w:style>
  <w:style w:type="character" w:customStyle="1" w:styleId="FootnoteTextChar">
    <w:name w:val="Footnote Text Char"/>
    <w:basedOn w:val="DefaultParagraphFont"/>
    <w:link w:val="FootnoteText"/>
    <w:uiPriority w:val="99"/>
    <w:rsid w:val="00D7379C"/>
    <w:rPr>
      <w:sz w:val="20"/>
      <w:szCs w:val="20"/>
    </w:rPr>
  </w:style>
  <w:style w:type="character" w:styleId="FootnoteReference">
    <w:name w:val="footnote reference"/>
    <w:basedOn w:val="DefaultParagraphFont"/>
    <w:uiPriority w:val="99"/>
    <w:unhideWhenUsed/>
    <w:rsid w:val="00D7379C"/>
    <w:rPr>
      <w:vertAlign w:val="superscript"/>
    </w:rPr>
  </w:style>
  <w:style w:type="character" w:styleId="FollowedHyperlink">
    <w:name w:val="FollowedHyperlink"/>
    <w:basedOn w:val="DefaultParagraphFont"/>
    <w:uiPriority w:val="99"/>
    <w:semiHidden/>
    <w:unhideWhenUsed/>
    <w:rsid w:val="00AE41C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pooledfund.org/Details/Study/5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F67C5D-5F0A-4B3E-AAFA-0BCD717B94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1290</Words>
  <Characters>7358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8631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Sillick, Susan</cp:lastModifiedBy>
  <cp:revision>3</cp:revision>
  <cp:lastPrinted>2011-06-21T20:32:00Z</cp:lastPrinted>
  <dcterms:created xsi:type="dcterms:W3CDTF">2015-05-06T16:34:00Z</dcterms:created>
  <dcterms:modified xsi:type="dcterms:W3CDTF">2015-05-06T16:34:00Z</dcterms:modified>
</cp:coreProperties>
</file>