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860193" w:rsidRDefault="000C209F" w:rsidP="00360664">
            <w:pPr>
              <w:spacing w:after="0" w:line="240" w:lineRule="auto"/>
              <w:ind w:left="-108" w:right="-720"/>
              <w:rPr>
                <w:rFonts w:ascii="Arial" w:hAnsi="Arial" w:cs="Arial"/>
                <w:b/>
                <w:sz w:val="20"/>
                <w:szCs w:val="20"/>
              </w:rPr>
            </w:pPr>
            <w:r w:rsidRPr="00860193">
              <w:rPr>
                <w:rFonts w:ascii="Arial" w:hAnsi="Arial" w:cs="Arial"/>
                <w:b/>
                <w:sz w:val="36"/>
                <w:szCs w:val="36"/>
              </w:rPr>
              <w:t xml:space="preserve"> </w:t>
            </w:r>
            <w:r w:rsidR="00860193" w:rsidRPr="00860193">
              <w:rPr>
                <w:rFonts w:ascii="Arial" w:hAnsi="Arial" w:cs="Arial"/>
                <w:b/>
                <w:sz w:val="36"/>
                <w:szCs w:val="36"/>
                <w:u w:val="single"/>
              </w:rPr>
              <w:t>x</w:t>
            </w:r>
            <w:r w:rsidRPr="00860193">
              <w:rPr>
                <w:rFonts w:ascii="Arial" w:hAnsi="Arial" w:cs="Arial"/>
                <w:b/>
                <w:sz w:val="36"/>
                <w:szCs w:val="36"/>
              </w:rPr>
              <w:t xml:space="preserve"> </w:t>
            </w:r>
            <w:r w:rsidRPr="00860193">
              <w:rPr>
                <w:rFonts w:ascii="Arial" w:hAnsi="Arial" w:cs="Arial"/>
                <w:b/>
                <w:sz w:val="20"/>
                <w:szCs w:val="20"/>
              </w:rPr>
              <w:t>Quarter 1 (January 1 – March 31</w:t>
            </w:r>
            <w:r w:rsidR="005C75FE" w:rsidRPr="00860193">
              <w:rPr>
                <w:rFonts w:ascii="Arial" w:hAnsi="Arial" w:cs="Arial"/>
                <w:b/>
                <w:sz w:val="20"/>
                <w:szCs w:val="20"/>
              </w:rPr>
              <w:t xml:space="preserve">, </w:t>
            </w:r>
            <w:r w:rsidR="004E46AD" w:rsidRPr="00860193">
              <w:rPr>
                <w:rFonts w:ascii="Arial" w:hAnsi="Arial" w:cs="Arial"/>
                <w:b/>
                <w:sz w:val="20"/>
                <w:szCs w:val="20"/>
              </w:rPr>
              <w:t>201</w:t>
            </w:r>
            <w:r w:rsidR="00860193" w:rsidRPr="00860193">
              <w:rPr>
                <w:rFonts w:ascii="Arial" w:hAnsi="Arial" w:cs="Arial"/>
                <w:b/>
                <w:sz w:val="20"/>
                <w:szCs w:val="20"/>
              </w:rPr>
              <w:t>5</w:t>
            </w:r>
            <w:r w:rsidRPr="00860193">
              <w:rPr>
                <w:rFonts w:ascii="Arial" w:hAnsi="Arial" w:cs="Arial"/>
                <w:b/>
                <w:sz w:val="20"/>
                <w:szCs w:val="20"/>
              </w:rPr>
              <w:t>)</w:t>
            </w:r>
          </w:p>
          <w:p w:rsidR="000C209F" w:rsidRPr="00AC7DA7" w:rsidRDefault="000C209F" w:rsidP="00360664">
            <w:pPr>
              <w:spacing w:after="0" w:line="240" w:lineRule="auto"/>
              <w:ind w:left="-108" w:right="-108"/>
              <w:rPr>
                <w:rFonts w:ascii="Arial" w:hAnsi="Arial" w:cs="Arial"/>
                <w:sz w:val="20"/>
                <w:szCs w:val="20"/>
              </w:rPr>
            </w:pPr>
            <w:r w:rsidRPr="00BA017A">
              <w:rPr>
                <w:rFonts w:ascii="Arial" w:hAnsi="Arial" w:cs="Arial"/>
                <w:b/>
                <w:sz w:val="36"/>
                <w:szCs w:val="36"/>
              </w:rPr>
              <w:t xml:space="preserve"> </w:t>
            </w:r>
            <w:r w:rsidR="00AC7DA7" w:rsidRPr="005B2685">
              <w:rPr>
                <w:rFonts w:ascii="Arial" w:hAnsi="Arial" w:cs="Arial"/>
                <w:sz w:val="36"/>
                <w:szCs w:val="36"/>
              </w:rPr>
              <w:t>_</w:t>
            </w:r>
            <w:r w:rsidR="00B5625E" w:rsidRPr="00AC7DA7">
              <w:rPr>
                <w:rFonts w:ascii="Arial" w:hAnsi="Arial" w:cs="Arial"/>
                <w:sz w:val="36"/>
                <w:szCs w:val="36"/>
              </w:rPr>
              <w:t xml:space="preserve"> </w:t>
            </w:r>
            <w:r w:rsidRPr="00AC7DA7">
              <w:rPr>
                <w:rFonts w:ascii="Arial" w:hAnsi="Arial" w:cs="Arial"/>
                <w:sz w:val="20"/>
                <w:szCs w:val="20"/>
              </w:rPr>
              <w:t>Quarter 2 (April 1 – June 30</w:t>
            </w:r>
            <w:r w:rsidR="002C4321" w:rsidRPr="00AC7DA7">
              <w:rPr>
                <w:rFonts w:ascii="Arial" w:hAnsi="Arial" w:cs="Arial"/>
                <w:sz w:val="20"/>
                <w:szCs w:val="20"/>
              </w:rPr>
              <w:t>, 201</w:t>
            </w:r>
            <w:r w:rsidR="00860193">
              <w:rPr>
                <w:rFonts w:ascii="Arial" w:hAnsi="Arial" w:cs="Arial"/>
                <w:sz w:val="20"/>
                <w:szCs w:val="20"/>
              </w:rPr>
              <w:t>5</w:t>
            </w:r>
            <w:r w:rsidRPr="00AC7DA7">
              <w:rPr>
                <w:rFonts w:ascii="Arial" w:hAnsi="Arial" w:cs="Arial"/>
                <w:sz w:val="20"/>
                <w:szCs w:val="20"/>
              </w:rPr>
              <w:t>)</w:t>
            </w:r>
          </w:p>
          <w:p w:rsidR="000C209F" w:rsidRPr="00CA5876" w:rsidRDefault="00CA5876" w:rsidP="00360664">
            <w:pPr>
              <w:spacing w:after="0" w:line="240" w:lineRule="auto"/>
              <w:ind w:right="-720"/>
              <w:rPr>
                <w:rFonts w:ascii="Arial" w:hAnsi="Arial" w:cs="Arial"/>
                <w:sz w:val="20"/>
                <w:szCs w:val="20"/>
              </w:rPr>
            </w:pPr>
            <w:r w:rsidRPr="005B2685">
              <w:rPr>
                <w:rFonts w:ascii="Arial" w:hAnsi="Arial" w:cs="Arial"/>
                <w:sz w:val="36"/>
                <w:szCs w:val="36"/>
              </w:rPr>
              <w:t>_</w:t>
            </w:r>
            <w:r w:rsidR="000C209F" w:rsidRPr="00CA5876">
              <w:rPr>
                <w:rFonts w:ascii="Arial" w:hAnsi="Arial" w:cs="Arial"/>
                <w:sz w:val="36"/>
                <w:szCs w:val="36"/>
              </w:rPr>
              <w:t xml:space="preserve"> </w:t>
            </w:r>
            <w:r w:rsidR="000C209F" w:rsidRPr="00CA5876">
              <w:rPr>
                <w:rFonts w:ascii="Arial" w:hAnsi="Arial" w:cs="Arial"/>
                <w:sz w:val="20"/>
                <w:szCs w:val="20"/>
              </w:rPr>
              <w:t>Quarter 3 (July 1 – September 30</w:t>
            </w:r>
            <w:r w:rsidR="002C4321" w:rsidRPr="00CA5876">
              <w:rPr>
                <w:rFonts w:ascii="Arial" w:hAnsi="Arial" w:cs="Arial"/>
                <w:sz w:val="20"/>
                <w:szCs w:val="20"/>
              </w:rPr>
              <w:t>, 201</w:t>
            </w:r>
            <w:r w:rsidR="00860193">
              <w:rPr>
                <w:rFonts w:ascii="Arial" w:hAnsi="Arial" w:cs="Arial"/>
                <w:sz w:val="20"/>
                <w:szCs w:val="20"/>
              </w:rPr>
              <w:t>5</w:t>
            </w:r>
            <w:r w:rsidR="000C209F" w:rsidRPr="00CA5876">
              <w:rPr>
                <w:rFonts w:ascii="Arial" w:hAnsi="Arial" w:cs="Arial"/>
                <w:sz w:val="20"/>
                <w:szCs w:val="20"/>
              </w:rPr>
              <w:t>)</w:t>
            </w:r>
          </w:p>
          <w:p w:rsidR="000C209F" w:rsidRPr="00860193" w:rsidRDefault="00860193" w:rsidP="00860193">
            <w:pPr>
              <w:spacing w:after="0" w:line="240" w:lineRule="auto"/>
              <w:ind w:right="-720"/>
              <w:rPr>
                <w:rFonts w:ascii="Arial" w:hAnsi="Arial" w:cs="Arial"/>
                <w:sz w:val="20"/>
                <w:szCs w:val="20"/>
              </w:rPr>
            </w:pPr>
            <w:r w:rsidRPr="005B2685">
              <w:rPr>
                <w:rFonts w:ascii="Arial" w:hAnsi="Arial" w:cs="Arial"/>
                <w:sz w:val="36"/>
                <w:szCs w:val="36"/>
              </w:rPr>
              <w:t>_</w:t>
            </w:r>
            <w:r w:rsidR="002718CD" w:rsidRPr="00860193">
              <w:rPr>
                <w:rFonts w:ascii="Arial" w:hAnsi="Arial" w:cs="Arial"/>
                <w:sz w:val="36"/>
                <w:szCs w:val="36"/>
              </w:rPr>
              <w:t xml:space="preserve"> </w:t>
            </w:r>
            <w:r w:rsidR="000C209F" w:rsidRPr="00860193">
              <w:rPr>
                <w:rFonts w:ascii="Arial" w:hAnsi="Arial" w:cs="Arial"/>
                <w:sz w:val="20"/>
                <w:szCs w:val="20"/>
              </w:rPr>
              <w:t xml:space="preserve">Quarter </w:t>
            </w:r>
            <w:r w:rsidR="005C75FE" w:rsidRPr="00860193">
              <w:rPr>
                <w:rFonts w:ascii="Arial" w:hAnsi="Arial" w:cs="Arial"/>
                <w:sz w:val="20"/>
                <w:szCs w:val="20"/>
              </w:rPr>
              <w:t>4 (October 1 – December 31</w:t>
            </w:r>
            <w:r w:rsidR="002C4321" w:rsidRPr="00860193">
              <w:rPr>
                <w:rFonts w:ascii="Arial" w:hAnsi="Arial" w:cs="Arial"/>
                <w:sz w:val="20"/>
                <w:szCs w:val="20"/>
              </w:rPr>
              <w:t>, 201</w:t>
            </w:r>
            <w:r w:rsidRPr="00860193">
              <w:rPr>
                <w:rFonts w:ascii="Arial" w:hAnsi="Arial" w:cs="Arial"/>
                <w:sz w:val="20"/>
                <w:szCs w:val="20"/>
              </w:rPr>
              <w:t>5</w:t>
            </w:r>
            <w:r w:rsidR="000C209F" w:rsidRPr="00860193">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0072AA">
            <w:pPr>
              <w:spacing w:after="0" w:line="240" w:lineRule="auto"/>
              <w:ind w:left="-108" w:right="-108"/>
              <w:jc w:val="center"/>
              <w:rPr>
                <w:rFonts w:ascii="Arial" w:hAnsi="Arial" w:cs="Arial"/>
                <w:sz w:val="20"/>
                <w:szCs w:val="20"/>
              </w:rPr>
            </w:pPr>
            <w:r w:rsidRPr="00BA017A">
              <w:rPr>
                <w:rFonts w:ascii="Arial" w:hAnsi="Arial" w:cs="Arial"/>
                <w:sz w:val="20"/>
                <w:szCs w:val="20"/>
              </w:rPr>
              <w:t>$</w:t>
            </w:r>
            <w:r w:rsidR="000072AA">
              <w:rPr>
                <w:rFonts w:ascii="Arial" w:hAnsi="Arial" w:cs="Arial"/>
                <w:sz w:val="20"/>
                <w:szCs w:val="20"/>
              </w:rPr>
              <w:t>23</w:t>
            </w:r>
            <w:r w:rsidR="0013366A" w:rsidRPr="00BA017A">
              <w:rPr>
                <w:rFonts w:ascii="Arial" w:hAnsi="Arial" w:cs="Arial"/>
                <w:sz w:val="20"/>
                <w:szCs w:val="20"/>
              </w:rPr>
              <w:t>,</w:t>
            </w:r>
            <w:r w:rsidR="000072AA">
              <w:rPr>
                <w:rFonts w:ascii="Arial" w:hAnsi="Arial" w:cs="Arial"/>
                <w:sz w:val="20"/>
                <w:szCs w:val="20"/>
              </w:rPr>
              <w:t>25</w:t>
            </w:r>
            <w:r w:rsidR="0013366A" w:rsidRPr="00BA017A">
              <w:rPr>
                <w:rFonts w:ascii="Arial" w:hAnsi="Arial" w:cs="Arial"/>
                <w:sz w:val="20"/>
                <w:szCs w:val="20"/>
              </w:rPr>
              <w:t>0.00</w:t>
            </w:r>
          </w:p>
        </w:tc>
        <w:tc>
          <w:tcPr>
            <w:tcW w:w="3420" w:type="dxa"/>
            <w:vAlign w:val="center"/>
          </w:tcPr>
          <w:p w:rsidR="000C209F" w:rsidRPr="00BA017A" w:rsidRDefault="000A51D5" w:rsidP="00360664">
            <w:pPr>
              <w:spacing w:after="0" w:line="240" w:lineRule="auto"/>
              <w:ind w:left="-108" w:right="-108"/>
              <w:jc w:val="center"/>
              <w:rPr>
                <w:rFonts w:ascii="Arial" w:hAnsi="Arial" w:cs="Arial"/>
                <w:sz w:val="20"/>
                <w:szCs w:val="20"/>
              </w:rPr>
            </w:pPr>
            <w:r w:rsidRPr="007132D7">
              <w:rPr>
                <w:rFonts w:ascii="Arial" w:hAnsi="Arial" w:cs="Arial"/>
                <w:sz w:val="20"/>
                <w:szCs w:val="20"/>
              </w:rPr>
              <w:t>4</w:t>
            </w:r>
            <w:r w:rsidR="00DF4405" w:rsidRPr="007132D7">
              <w:rPr>
                <w:rFonts w:ascii="Arial" w:hAnsi="Arial" w:cs="Arial"/>
                <w:sz w:val="20"/>
                <w:szCs w:val="20"/>
              </w:rPr>
              <w:t>0</w:t>
            </w:r>
            <w:r w:rsidR="0013366A" w:rsidRPr="007132D7">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0072AA" w:rsidP="000072AA">
            <w:pPr>
              <w:spacing w:after="0" w:line="240" w:lineRule="auto"/>
              <w:ind w:right="-108"/>
              <w:jc w:val="center"/>
              <w:rPr>
                <w:rFonts w:ascii="Arial" w:hAnsi="Arial" w:cs="Arial"/>
                <w:sz w:val="20"/>
                <w:szCs w:val="20"/>
              </w:rPr>
            </w:pPr>
            <w:r>
              <w:rPr>
                <w:rFonts w:ascii="Arial" w:hAnsi="Arial" w:cs="Arial"/>
                <w:sz w:val="20"/>
                <w:szCs w:val="20"/>
              </w:rPr>
              <w:t>15</w:t>
            </w:r>
            <w:r w:rsidR="0013366A" w:rsidRPr="00BA017A">
              <w:rPr>
                <w:rFonts w:ascii="Arial" w:hAnsi="Arial" w:cs="Arial"/>
                <w:sz w:val="20"/>
                <w:szCs w:val="20"/>
              </w:rPr>
              <w:t>%</w:t>
            </w:r>
          </w:p>
        </w:tc>
        <w:tc>
          <w:tcPr>
            <w:tcW w:w="3330" w:type="dxa"/>
          </w:tcPr>
          <w:p w:rsidR="000C209F" w:rsidRPr="00BA017A" w:rsidRDefault="000C209F" w:rsidP="000072AA">
            <w:pPr>
              <w:spacing w:after="0" w:line="240" w:lineRule="auto"/>
              <w:ind w:right="-108"/>
              <w:jc w:val="center"/>
              <w:rPr>
                <w:rFonts w:ascii="Arial" w:hAnsi="Arial" w:cs="Arial"/>
                <w:sz w:val="20"/>
                <w:szCs w:val="20"/>
              </w:rPr>
            </w:pPr>
            <w:r w:rsidRPr="00BA017A">
              <w:rPr>
                <w:rFonts w:ascii="Arial" w:hAnsi="Arial" w:cs="Arial"/>
                <w:sz w:val="20"/>
                <w:szCs w:val="20"/>
              </w:rPr>
              <w:t>$</w:t>
            </w:r>
            <w:r w:rsidR="000072AA">
              <w:rPr>
                <w:rFonts w:ascii="Arial" w:hAnsi="Arial" w:cs="Arial"/>
                <w:sz w:val="20"/>
                <w:szCs w:val="20"/>
              </w:rPr>
              <w:t>16,750.00</w:t>
            </w:r>
          </w:p>
        </w:tc>
        <w:tc>
          <w:tcPr>
            <w:tcW w:w="3420" w:type="dxa"/>
          </w:tcPr>
          <w:p w:rsidR="000C209F" w:rsidRPr="00BA017A" w:rsidRDefault="00994752" w:rsidP="00434429">
            <w:pPr>
              <w:spacing w:after="0" w:line="240" w:lineRule="auto"/>
              <w:ind w:left="-108" w:right="-108"/>
              <w:jc w:val="center"/>
              <w:rPr>
                <w:rFonts w:ascii="Arial" w:hAnsi="Arial" w:cs="Arial"/>
                <w:sz w:val="20"/>
                <w:szCs w:val="20"/>
              </w:rPr>
            </w:pPr>
            <w:r>
              <w:rPr>
                <w:rFonts w:ascii="Arial" w:hAnsi="Arial" w:cs="Arial"/>
                <w:sz w:val="20"/>
                <w:szCs w:val="20"/>
              </w:rPr>
              <w:t>6</w:t>
            </w:r>
            <w:r w:rsidR="00434429">
              <w:rPr>
                <w:rFonts w:ascii="Arial" w:hAnsi="Arial" w:cs="Arial"/>
                <w:sz w:val="20"/>
                <w:szCs w:val="20"/>
              </w:rPr>
              <w:t>5</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Progress this Quarter (includes meetings, work plan status, contract status, significant progress, etc.):</w:t>
            </w:r>
          </w:p>
          <w:p w:rsidR="00630F0C" w:rsidRDefault="00630F0C" w:rsidP="00630F0C">
            <w:pPr>
              <w:spacing w:after="0" w:line="240" w:lineRule="auto"/>
              <w:rPr>
                <w:rFonts w:ascii="Arial" w:hAnsi="Arial" w:cs="Arial"/>
                <w:sz w:val="20"/>
                <w:szCs w:val="20"/>
              </w:rPr>
            </w:pPr>
          </w:p>
          <w:p w:rsidR="000E25C9" w:rsidRDefault="000E25C9" w:rsidP="00630F0C">
            <w:pPr>
              <w:spacing w:after="0" w:line="240" w:lineRule="auto"/>
              <w:rPr>
                <w:rFonts w:ascii="Arial" w:hAnsi="Arial" w:cs="Arial"/>
                <w:sz w:val="20"/>
                <w:szCs w:val="20"/>
              </w:rPr>
            </w:pPr>
            <w:r>
              <w:rPr>
                <w:rFonts w:ascii="Arial" w:hAnsi="Arial" w:cs="Arial"/>
                <w:sz w:val="20"/>
                <w:szCs w:val="20"/>
              </w:rPr>
              <w:t xml:space="preserve">Task 1 – </w:t>
            </w:r>
            <w:r w:rsidR="00C006F1">
              <w:rPr>
                <w:rFonts w:ascii="Arial" w:hAnsi="Arial" w:cs="Arial"/>
                <w:sz w:val="20"/>
                <w:szCs w:val="20"/>
              </w:rPr>
              <w:t>100% complete.</w:t>
            </w:r>
          </w:p>
          <w:p w:rsidR="00C006F1" w:rsidRDefault="000E25C9" w:rsidP="00C006F1">
            <w:pPr>
              <w:spacing w:after="0" w:line="240" w:lineRule="auto"/>
              <w:rPr>
                <w:rFonts w:ascii="Arial" w:hAnsi="Arial" w:cs="Arial"/>
                <w:sz w:val="20"/>
                <w:szCs w:val="20"/>
              </w:rPr>
            </w:pPr>
            <w:r>
              <w:rPr>
                <w:rFonts w:ascii="Arial" w:hAnsi="Arial" w:cs="Arial"/>
                <w:sz w:val="20"/>
                <w:szCs w:val="20"/>
              </w:rPr>
              <w:t xml:space="preserve">Task 2 – </w:t>
            </w:r>
            <w:r w:rsidR="00CE0AB9">
              <w:rPr>
                <w:rFonts w:ascii="Arial" w:hAnsi="Arial" w:cs="Arial"/>
                <w:sz w:val="20"/>
                <w:szCs w:val="20"/>
              </w:rPr>
              <w:t>100</w:t>
            </w:r>
            <w:r w:rsidR="00C006F1">
              <w:rPr>
                <w:rFonts w:ascii="Arial" w:hAnsi="Arial" w:cs="Arial"/>
                <w:sz w:val="20"/>
                <w:szCs w:val="20"/>
              </w:rPr>
              <w:t xml:space="preserve">% complete.  </w:t>
            </w:r>
            <w:r w:rsidR="0034356F">
              <w:rPr>
                <w:rFonts w:ascii="Arial" w:hAnsi="Arial" w:cs="Arial"/>
                <w:sz w:val="20"/>
                <w:szCs w:val="20"/>
              </w:rPr>
              <w:t xml:space="preserve">BYU </w:t>
            </w:r>
            <w:r w:rsidR="00CE0AB9">
              <w:rPr>
                <w:rFonts w:ascii="Arial" w:hAnsi="Arial" w:cs="Arial"/>
                <w:sz w:val="20"/>
                <w:szCs w:val="20"/>
              </w:rPr>
              <w:t xml:space="preserve">provided </w:t>
            </w:r>
            <w:r w:rsidR="0095508B">
              <w:rPr>
                <w:rFonts w:ascii="Arial" w:hAnsi="Arial" w:cs="Arial"/>
                <w:sz w:val="20"/>
                <w:szCs w:val="20"/>
              </w:rPr>
              <w:t>the summary report for the task testing</w:t>
            </w:r>
            <w:r w:rsidR="00CE0AB9">
              <w:rPr>
                <w:rFonts w:ascii="Arial" w:hAnsi="Arial" w:cs="Arial"/>
                <w:sz w:val="20"/>
                <w:szCs w:val="20"/>
              </w:rPr>
              <w:t>, and this was shared with the TAC.</w:t>
            </w:r>
          </w:p>
          <w:p w:rsidR="009934E8" w:rsidRDefault="000E25C9" w:rsidP="009934E8">
            <w:pPr>
              <w:spacing w:after="0" w:line="240" w:lineRule="auto"/>
              <w:rPr>
                <w:rFonts w:ascii="Arial" w:hAnsi="Arial" w:cs="Arial"/>
                <w:sz w:val="20"/>
                <w:szCs w:val="20"/>
              </w:rPr>
            </w:pPr>
            <w:r>
              <w:rPr>
                <w:rFonts w:ascii="Arial" w:hAnsi="Arial" w:cs="Arial"/>
                <w:sz w:val="20"/>
                <w:szCs w:val="20"/>
              </w:rPr>
              <w:t xml:space="preserve">Task 3 – </w:t>
            </w:r>
            <w:r w:rsidR="0095508B">
              <w:rPr>
                <w:rFonts w:ascii="Arial" w:hAnsi="Arial" w:cs="Arial"/>
                <w:sz w:val="20"/>
                <w:szCs w:val="20"/>
              </w:rPr>
              <w:t>9</w:t>
            </w:r>
            <w:r w:rsidR="009934E8">
              <w:rPr>
                <w:rFonts w:ascii="Arial" w:hAnsi="Arial" w:cs="Arial"/>
                <w:sz w:val="20"/>
                <w:szCs w:val="20"/>
              </w:rPr>
              <w:t xml:space="preserve">0% complete.  </w:t>
            </w:r>
            <w:r w:rsidR="0095508B">
              <w:rPr>
                <w:rFonts w:ascii="Arial" w:hAnsi="Arial" w:cs="Arial"/>
                <w:sz w:val="20"/>
                <w:szCs w:val="20"/>
              </w:rPr>
              <w:t>BYU prepared the summary report for the task testing.</w:t>
            </w:r>
          </w:p>
          <w:p w:rsidR="0034356F" w:rsidRDefault="000E25C9" w:rsidP="000E25C9">
            <w:pPr>
              <w:spacing w:after="0" w:line="240" w:lineRule="auto"/>
              <w:rPr>
                <w:rFonts w:ascii="Arial" w:hAnsi="Arial" w:cs="Arial"/>
                <w:sz w:val="20"/>
                <w:szCs w:val="20"/>
              </w:rPr>
            </w:pPr>
            <w:r>
              <w:rPr>
                <w:rFonts w:ascii="Arial" w:hAnsi="Arial" w:cs="Arial"/>
                <w:sz w:val="20"/>
                <w:szCs w:val="20"/>
              </w:rPr>
              <w:t xml:space="preserve">Task 4 – </w:t>
            </w:r>
            <w:r w:rsidR="0095508B">
              <w:rPr>
                <w:rFonts w:ascii="Arial" w:hAnsi="Arial" w:cs="Arial"/>
                <w:sz w:val="20"/>
                <w:szCs w:val="20"/>
              </w:rPr>
              <w:t>5</w:t>
            </w:r>
            <w:r w:rsidR="0034356F">
              <w:rPr>
                <w:rFonts w:ascii="Arial" w:hAnsi="Arial" w:cs="Arial"/>
                <w:sz w:val="20"/>
                <w:szCs w:val="20"/>
              </w:rPr>
              <w:t xml:space="preserve">0% complete.  </w:t>
            </w:r>
            <w:r w:rsidR="00731D90">
              <w:rPr>
                <w:rFonts w:ascii="Arial" w:hAnsi="Arial" w:cs="Arial"/>
                <w:sz w:val="20"/>
                <w:szCs w:val="20"/>
              </w:rPr>
              <w:t xml:space="preserve">BYU </w:t>
            </w:r>
            <w:r w:rsidR="00734A5F">
              <w:rPr>
                <w:rFonts w:ascii="Arial" w:hAnsi="Arial" w:cs="Arial"/>
                <w:sz w:val="20"/>
                <w:szCs w:val="20"/>
              </w:rPr>
              <w:t>continued</w:t>
            </w:r>
            <w:r w:rsidR="0034356F">
              <w:rPr>
                <w:rFonts w:ascii="Arial" w:hAnsi="Arial" w:cs="Arial"/>
                <w:sz w:val="20"/>
                <w:szCs w:val="20"/>
              </w:rPr>
              <w:t xml:space="preserve"> </w:t>
            </w:r>
            <w:r w:rsidR="00731D90">
              <w:rPr>
                <w:rFonts w:ascii="Arial" w:hAnsi="Arial" w:cs="Arial"/>
                <w:sz w:val="20"/>
                <w:szCs w:val="20"/>
              </w:rPr>
              <w:t xml:space="preserve">the </w:t>
            </w:r>
            <w:r w:rsidR="0034356F">
              <w:rPr>
                <w:rFonts w:ascii="Arial" w:hAnsi="Arial" w:cs="Arial"/>
                <w:sz w:val="20"/>
                <w:szCs w:val="20"/>
              </w:rPr>
              <w:t>test data reduction and analysis.</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5 – </w:t>
            </w:r>
            <w:r w:rsidR="0047348C">
              <w:rPr>
                <w:rFonts w:ascii="Arial" w:hAnsi="Arial" w:cs="Arial"/>
                <w:sz w:val="20"/>
                <w:szCs w:val="20"/>
              </w:rPr>
              <w:t>10</w:t>
            </w:r>
            <w:r w:rsidR="0095508B">
              <w:rPr>
                <w:rFonts w:ascii="Arial" w:hAnsi="Arial" w:cs="Arial"/>
                <w:sz w:val="20"/>
                <w:szCs w:val="20"/>
              </w:rPr>
              <w:t xml:space="preserve">% complete.  BYU </w:t>
            </w:r>
            <w:r w:rsidR="00603845">
              <w:rPr>
                <w:rFonts w:ascii="Arial" w:hAnsi="Arial" w:cs="Arial"/>
                <w:sz w:val="20"/>
                <w:szCs w:val="20"/>
              </w:rPr>
              <w:t>began evaluating predictive methods.</w:t>
            </w:r>
          </w:p>
          <w:p w:rsidR="000E25C9" w:rsidRDefault="000E25C9" w:rsidP="000E25C9">
            <w:pPr>
              <w:spacing w:after="0" w:line="240" w:lineRule="auto"/>
              <w:rPr>
                <w:rFonts w:ascii="Arial" w:hAnsi="Arial" w:cs="Arial"/>
                <w:sz w:val="20"/>
                <w:szCs w:val="20"/>
              </w:rPr>
            </w:pPr>
            <w:r>
              <w:rPr>
                <w:rFonts w:ascii="Arial" w:hAnsi="Arial" w:cs="Arial"/>
                <w:sz w:val="20"/>
                <w:szCs w:val="20"/>
              </w:rPr>
              <w:lastRenderedPageBreak/>
              <w:t xml:space="preserve">Task 6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7 – </w:t>
            </w:r>
            <w:r w:rsidR="00C006F1">
              <w:rPr>
                <w:rFonts w:ascii="Arial" w:hAnsi="Arial" w:cs="Arial"/>
                <w:sz w:val="20"/>
                <w:szCs w:val="20"/>
              </w:rPr>
              <w:t>No work yet.</w:t>
            </w:r>
          </w:p>
          <w:p w:rsidR="00C006F1" w:rsidRDefault="000E25C9" w:rsidP="00FB4F80">
            <w:pPr>
              <w:spacing w:after="0" w:line="240" w:lineRule="auto"/>
              <w:rPr>
                <w:rFonts w:ascii="Arial" w:hAnsi="Arial" w:cs="Arial"/>
                <w:sz w:val="20"/>
                <w:szCs w:val="20"/>
              </w:rPr>
            </w:pPr>
            <w:r>
              <w:rPr>
                <w:rFonts w:ascii="Arial" w:hAnsi="Arial" w:cs="Arial"/>
                <w:sz w:val="20"/>
                <w:szCs w:val="20"/>
              </w:rPr>
              <w:t xml:space="preserve">Task 8 – </w:t>
            </w:r>
            <w:r w:rsidR="0091268B">
              <w:rPr>
                <w:rFonts w:ascii="Arial" w:hAnsi="Arial" w:cs="Arial"/>
                <w:sz w:val="20"/>
                <w:szCs w:val="20"/>
              </w:rPr>
              <w:t>1</w:t>
            </w:r>
            <w:r w:rsidR="0034356F">
              <w:rPr>
                <w:rFonts w:ascii="Arial" w:hAnsi="Arial" w:cs="Arial"/>
                <w:sz w:val="20"/>
                <w:szCs w:val="20"/>
              </w:rPr>
              <w:t>5</w:t>
            </w:r>
            <w:r w:rsidR="00C006F1">
              <w:rPr>
                <w:rFonts w:ascii="Arial" w:hAnsi="Arial" w:cs="Arial"/>
                <w:sz w:val="20"/>
                <w:szCs w:val="20"/>
              </w:rPr>
              <w:t>% complete.</w:t>
            </w:r>
            <w:r w:rsidR="0034356F">
              <w:rPr>
                <w:rFonts w:ascii="Arial" w:hAnsi="Arial" w:cs="Arial"/>
                <w:sz w:val="20"/>
                <w:szCs w:val="20"/>
              </w:rPr>
              <w:t xml:space="preserve">  </w:t>
            </w:r>
            <w:r w:rsidR="00603845">
              <w:rPr>
                <w:rFonts w:ascii="Arial" w:hAnsi="Arial" w:cs="Arial"/>
                <w:sz w:val="20"/>
                <w:szCs w:val="20"/>
              </w:rPr>
              <w:t>No TAC meetings were held this quarter.</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Anticipated work next quarter</w:t>
            </w:r>
            <w:r w:rsidRPr="00BA017A">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1 – </w:t>
            </w:r>
            <w:r w:rsidR="004579C4">
              <w:rPr>
                <w:rFonts w:ascii="Arial" w:hAnsi="Arial" w:cs="Arial"/>
                <w:sz w:val="20"/>
                <w:szCs w:val="20"/>
              </w:rPr>
              <w:t>None.</w:t>
            </w:r>
          </w:p>
          <w:p w:rsidR="0091268B" w:rsidRPr="00BA017A" w:rsidRDefault="0091268B" w:rsidP="0091268B">
            <w:pPr>
              <w:spacing w:after="0" w:line="240" w:lineRule="auto"/>
              <w:rPr>
                <w:rFonts w:ascii="Arial" w:hAnsi="Arial" w:cs="Arial"/>
                <w:sz w:val="20"/>
                <w:szCs w:val="20"/>
              </w:rPr>
            </w:pPr>
            <w:r>
              <w:rPr>
                <w:rFonts w:ascii="Arial" w:hAnsi="Arial" w:cs="Arial"/>
                <w:sz w:val="20"/>
                <w:szCs w:val="20"/>
              </w:rPr>
              <w:t>Task 2 –</w:t>
            </w:r>
            <w:r w:rsidR="00020065">
              <w:rPr>
                <w:rFonts w:ascii="Arial" w:hAnsi="Arial" w:cs="Arial"/>
                <w:sz w:val="20"/>
                <w:szCs w:val="20"/>
              </w:rPr>
              <w:t xml:space="preserve"> </w:t>
            </w:r>
            <w:r w:rsidR="00CE0AB9">
              <w:rPr>
                <w:rFonts w:ascii="Arial" w:hAnsi="Arial" w:cs="Arial"/>
                <w:sz w:val="20"/>
                <w:szCs w:val="20"/>
              </w:rPr>
              <w:t>None</w:t>
            </w:r>
            <w:r w:rsidR="00B464A2">
              <w:rPr>
                <w:rFonts w:ascii="Arial" w:hAnsi="Arial" w:cs="Arial"/>
                <w:sz w:val="20"/>
                <w:szCs w:val="20"/>
              </w:rPr>
              <w:t>.</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3 – </w:t>
            </w:r>
            <w:r w:rsidR="00020065">
              <w:rPr>
                <w:rFonts w:ascii="Arial" w:hAnsi="Arial" w:cs="Arial"/>
                <w:sz w:val="20"/>
                <w:szCs w:val="20"/>
              </w:rPr>
              <w:t xml:space="preserve">Submit </w:t>
            </w:r>
            <w:r w:rsidR="00B464A2">
              <w:rPr>
                <w:rFonts w:ascii="Arial" w:hAnsi="Arial" w:cs="Arial"/>
                <w:sz w:val="20"/>
                <w:szCs w:val="20"/>
              </w:rPr>
              <w:t xml:space="preserve">the </w:t>
            </w:r>
            <w:r w:rsidR="00B464A2" w:rsidRPr="00B464A2">
              <w:rPr>
                <w:rFonts w:ascii="Arial" w:hAnsi="Arial" w:cs="Arial"/>
                <w:sz w:val="20"/>
                <w:szCs w:val="20"/>
              </w:rPr>
              <w:t xml:space="preserve">Test </w:t>
            </w:r>
            <w:r w:rsidR="00B464A2">
              <w:rPr>
                <w:rFonts w:ascii="Arial" w:hAnsi="Arial" w:cs="Arial"/>
                <w:sz w:val="20"/>
                <w:szCs w:val="20"/>
              </w:rPr>
              <w:t>2</w:t>
            </w:r>
            <w:r w:rsidR="00B464A2" w:rsidRPr="00B464A2">
              <w:rPr>
                <w:rFonts w:ascii="Arial" w:hAnsi="Arial" w:cs="Arial"/>
                <w:sz w:val="20"/>
                <w:szCs w:val="20"/>
              </w:rPr>
              <w:t xml:space="preserve"> summary report</w:t>
            </w:r>
            <w:r w:rsidR="00B464A2">
              <w:rPr>
                <w:rFonts w:ascii="Arial" w:hAnsi="Arial" w:cs="Arial"/>
                <w:sz w:val="20"/>
                <w:szCs w:val="20"/>
              </w:rPr>
              <w:t xml:space="preserve"> for TAC review.</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4 – </w:t>
            </w:r>
            <w:r w:rsidR="00EE1FED">
              <w:rPr>
                <w:rFonts w:ascii="Arial" w:hAnsi="Arial" w:cs="Arial"/>
                <w:sz w:val="20"/>
                <w:szCs w:val="20"/>
              </w:rPr>
              <w:t xml:space="preserve">Continue with </w:t>
            </w:r>
            <w:r w:rsidR="00FF6E5D">
              <w:rPr>
                <w:rFonts w:ascii="Arial" w:hAnsi="Arial" w:cs="Arial"/>
                <w:sz w:val="20"/>
                <w:szCs w:val="20"/>
              </w:rPr>
              <w:t>t</w:t>
            </w:r>
            <w:r w:rsidR="00EE1FED">
              <w:rPr>
                <w:rFonts w:ascii="Arial" w:hAnsi="Arial" w:cs="Arial"/>
                <w:sz w:val="20"/>
                <w:szCs w:val="20"/>
              </w:rPr>
              <w:t>est data reduction and analysis.</w:t>
            </w:r>
          </w:p>
          <w:p w:rsidR="0091268B" w:rsidRDefault="0091268B" w:rsidP="0091268B">
            <w:pPr>
              <w:spacing w:after="0" w:line="240" w:lineRule="auto"/>
              <w:rPr>
                <w:rFonts w:ascii="Arial" w:hAnsi="Arial" w:cs="Arial"/>
                <w:sz w:val="20"/>
                <w:szCs w:val="20"/>
              </w:rPr>
            </w:pPr>
            <w:r>
              <w:rPr>
                <w:rFonts w:ascii="Arial" w:hAnsi="Arial" w:cs="Arial"/>
                <w:sz w:val="20"/>
                <w:szCs w:val="20"/>
              </w:rPr>
              <w:t>Task 5 –</w:t>
            </w:r>
            <w:r w:rsidR="00FF6E5D">
              <w:rPr>
                <w:rFonts w:ascii="Arial" w:hAnsi="Arial" w:cs="Arial"/>
                <w:sz w:val="20"/>
                <w:szCs w:val="20"/>
              </w:rPr>
              <w:t xml:space="preserve"> </w:t>
            </w:r>
            <w:r w:rsidR="00667348">
              <w:rPr>
                <w:rFonts w:ascii="Arial" w:hAnsi="Arial" w:cs="Arial"/>
                <w:sz w:val="20"/>
                <w:szCs w:val="20"/>
              </w:rPr>
              <w:t xml:space="preserve">Continue with </w:t>
            </w:r>
            <w:r w:rsidR="00667348" w:rsidRPr="00667348">
              <w:rPr>
                <w:rFonts w:ascii="Arial" w:hAnsi="Arial" w:cs="Arial"/>
                <w:sz w:val="20"/>
                <w:szCs w:val="20"/>
              </w:rPr>
              <w:t>evaluating predictive methods</w:t>
            </w:r>
            <w:r w:rsidR="00667348">
              <w:rPr>
                <w:rFonts w:ascii="Arial" w:hAnsi="Arial" w:cs="Arial"/>
                <w:sz w:val="20"/>
                <w:szCs w:val="20"/>
              </w:rPr>
              <w:t>.</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6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7 – </w:t>
            </w:r>
            <w:r w:rsidR="004579C4">
              <w:rPr>
                <w:rFonts w:ascii="Arial" w:hAnsi="Arial" w:cs="Arial"/>
                <w:sz w:val="20"/>
                <w:szCs w:val="20"/>
              </w:rPr>
              <w:t>None.</w:t>
            </w:r>
          </w:p>
          <w:p w:rsidR="000C209F" w:rsidRDefault="0091268B" w:rsidP="0091268B">
            <w:pPr>
              <w:spacing w:after="0" w:line="240" w:lineRule="auto"/>
              <w:rPr>
                <w:rFonts w:ascii="Arial" w:hAnsi="Arial" w:cs="Arial"/>
                <w:sz w:val="20"/>
                <w:szCs w:val="20"/>
              </w:rPr>
            </w:pPr>
            <w:r>
              <w:rPr>
                <w:rFonts w:ascii="Arial" w:hAnsi="Arial" w:cs="Arial"/>
                <w:sz w:val="20"/>
                <w:szCs w:val="20"/>
              </w:rPr>
              <w:t xml:space="preserve">Task 8 – </w:t>
            </w:r>
            <w:r w:rsidR="00775D1D">
              <w:rPr>
                <w:rFonts w:ascii="Arial" w:hAnsi="Arial" w:cs="Arial"/>
                <w:sz w:val="20"/>
                <w:szCs w:val="20"/>
              </w:rPr>
              <w:t>Plan to hold another TAC web-</w:t>
            </w:r>
            <w:r w:rsidR="00FD73AD">
              <w:rPr>
                <w:rFonts w:ascii="Arial" w:hAnsi="Arial" w:cs="Arial"/>
                <w:sz w:val="20"/>
                <w:szCs w:val="20"/>
              </w:rPr>
              <w:t xml:space="preserve">conference </w:t>
            </w:r>
            <w:r w:rsidR="00775D1D">
              <w:rPr>
                <w:rFonts w:ascii="Arial" w:hAnsi="Arial" w:cs="Arial"/>
                <w:sz w:val="20"/>
                <w:szCs w:val="20"/>
              </w:rPr>
              <w:t>to review and discuss preliminary results from the testing</w:t>
            </w:r>
            <w:r w:rsidR="004579C4">
              <w:rPr>
                <w:rFonts w:ascii="Arial" w:hAnsi="Arial" w:cs="Arial"/>
                <w:sz w:val="20"/>
                <w:szCs w:val="20"/>
              </w:rPr>
              <w:t>.</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47348C" w:rsidRDefault="0047348C" w:rsidP="00360664">
            <w:pPr>
              <w:spacing w:after="0" w:line="240" w:lineRule="auto"/>
              <w:rPr>
                <w:rFonts w:ascii="Arial" w:hAnsi="Arial" w:cs="Arial"/>
                <w:sz w:val="20"/>
                <w:szCs w:val="20"/>
              </w:rPr>
            </w:pPr>
          </w:p>
          <w:p w:rsidR="003B6134" w:rsidRDefault="00DE3DFB" w:rsidP="00360664">
            <w:pPr>
              <w:spacing w:after="0" w:line="240" w:lineRule="auto"/>
              <w:rPr>
                <w:rFonts w:ascii="Arial" w:hAnsi="Arial" w:cs="Arial"/>
                <w:sz w:val="20"/>
                <w:szCs w:val="20"/>
              </w:rPr>
            </w:pPr>
            <w:r>
              <w:rPr>
                <w:rFonts w:ascii="Arial" w:hAnsi="Arial" w:cs="Arial"/>
                <w:sz w:val="20"/>
                <w:szCs w:val="20"/>
              </w:rPr>
              <w:t xml:space="preserve">During the past quarter we have worked to reduce test data and produce basic plots showing settlement vs. depth, peak excess </w:t>
            </w:r>
            <w:proofErr w:type="gramStart"/>
            <w:r>
              <w:rPr>
                <w:rFonts w:ascii="Arial" w:hAnsi="Arial" w:cs="Arial"/>
                <w:sz w:val="20"/>
                <w:szCs w:val="20"/>
              </w:rPr>
              <w:t>pore</w:t>
            </w:r>
            <w:proofErr w:type="gramEnd"/>
            <w:r>
              <w:rPr>
                <w:rFonts w:ascii="Arial" w:hAnsi="Arial" w:cs="Arial"/>
                <w:sz w:val="20"/>
                <w:szCs w:val="20"/>
              </w:rPr>
              <w:t xml:space="preserve"> pressure ratio versus depth, acceleration time histories at each accelerometer, pore pressure ratio time histories at each piezometer location, and total settlement versus number of tests.  These plots have now been prepared for the tests involving drains spaced at both 3 </w:t>
            </w:r>
            <w:proofErr w:type="spellStart"/>
            <w:r>
              <w:rPr>
                <w:rFonts w:ascii="Arial" w:hAnsi="Arial" w:cs="Arial"/>
                <w:sz w:val="20"/>
                <w:szCs w:val="20"/>
              </w:rPr>
              <w:t>ft</w:t>
            </w:r>
            <w:proofErr w:type="spellEnd"/>
            <w:r>
              <w:rPr>
                <w:rFonts w:ascii="Arial" w:hAnsi="Arial" w:cs="Arial"/>
                <w:sz w:val="20"/>
                <w:szCs w:val="20"/>
              </w:rPr>
              <w:t xml:space="preserve"> and 4 </w:t>
            </w:r>
            <w:proofErr w:type="spellStart"/>
            <w:r>
              <w:rPr>
                <w:rFonts w:ascii="Arial" w:hAnsi="Arial" w:cs="Arial"/>
                <w:sz w:val="20"/>
                <w:szCs w:val="20"/>
              </w:rPr>
              <w:t>ft</w:t>
            </w:r>
            <w:proofErr w:type="spellEnd"/>
            <w:r>
              <w:rPr>
                <w:rFonts w:ascii="Arial" w:hAnsi="Arial" w:cs="Arial"/>
                <w:sz w:val="20"/>
                <w:szCs w:val="20"/>
              </w:rPr>
              <w:t xml:space="preserve"> on centers.  Typical companion plots showing settlement versus depth along with peak excess pore pressure ratio versus depth </w:t>
            </w:r>
            <w:r w:rsidR="00DE1EB7">
              <w:rPr>
                <w:rFonts w:ascii="Arial" w:hAnsi="Arial" w:cs="Arial"/>
                <w:sz w:val="20"/>
                <w:szCs w:val="20"/>
              </w:rPr>
              <w:t xml:space="preserve">plots for the last round of tests with 0.20g base input motion for the 4 </w:t>
            </w:r>
            <w:proofErr w:type="spellStart"/>
            <w:r w:rsidR="00DE1EB7">
              <w:rPr>
                <w:rFonts w:ascii="Arial" w:hAnsi="Arial" w:cs="Arial"/>
                <w:sz w:val="20"/>
                <w:szCs w:val="20"/>
              </w:rPr>
              <w:t>ft</w:t>
            </w:r>
            <w:proofErr w:type="spellEnd"/>
            <w:r w:rsidR="00DE1EB7">
              <w:rPr>
                <w:rFonts w:ascii="Arial" w:hAnsi="Arial" w:cs="Arial"/>
                <w:sz w:val="20"/>
                <w:szCs w:val="20"/>
              </w:rPr>
              <w:t xml:space="preserve"> and 3 </w:t>
            </w:r>
            <w:proofErr w:type="spellStart"/>
            <w:r w:rsidR="00DE1EB7">
              <w:rPr>
                <w:rFonts w:ascii="Arial" w:hAnsi="Arial" w:cs="Arial"/>
                <w:sz w:val="20"/>
                <w:szCs w:val="20"/>
              </w:rPr>
              <w:t>ft</w:t>
            </w:r>
            <w:proofErr w:type="spellEnd"/>
            <w:r w:rsidR="00DE1EB7">
              <w:rPr>
                <w:rFonts w:ascii="Arial" w:hAnsi="Arial" w:cs="Arial"/>
                <w:sz w:val="20"/>
                <w:szCs w:val="20"/>
              </w:rPr>
              <w:t xml:space="preserve"> drain spacing are shown in Figures 1 and 2, respectively.  A comparison of the two plots indicates that the closer drains spacing (3 </w:t>
            </w:r>
            <w:proofErr w:type="spellStart"/>
            <w:r w:rsidR="00DE1EB7">
              <w:rPr>
                <w:rFonts w:ascii="Arial" w:hAnsi="Arial" w:cs="Arial"/>
                <w:sz w:val="20"/>
                <w:szCs w:val="20"/>
              </w:rPr>
              <w:t>ft</w:t>
            </w:r>
            <w:proofErr w:type="spellEnd"/>
            <w:r w:rsidR="00DE1EB7">
              <w:rPr>
                <w:rFonts w:ascii="Arial" w:hAnsi="Arial" w:cs="Arial"/>
                <w:sz w:val="20"/>
                <w:szCs w:val="20"/>
              </w:rPr>
              <w:t xml:space="preserve"> </w:t>
            </w:r>
            <w:proofErr w:type="spellStart"/>
            <w:r w:rsidR="00DE1EB7">
              <w:rPr>
                <w:rFonts w:ascii="Arial" w:hAnsi="Arial" w:cs="Arial"/>
                <w:sz w:val="20"/>
                <w:szCs w:val="20"/>
              </w:rPr>
              <w:t>vs</w:t>
            </w:r>
            <w:proofErr w:type="spellEnd"/>
            <w:r w:rsidR="00DE1EB7">
              <w:rPr>
                <w:rFonts w:ascii="Arial" w:hAnsi="Arial" w:cs="Arial"/>
                <w:sz w:val="20"/>
                <w:szCs w:val="20"/>
              </w:rPr>
              <w:t xml:space="preserve"> 4 </w:t>
            </w:r>
            <w:proofErr w:type="spellStart"/>
            <w:r w:rsidR="00DE1EB7">
              <w:rPr>
                <w:rFonts w:ascii="Arial" w:hAnsi="Arial" w:cs="Arial"/>
                <w:sz w:val="20"/>
                <w:szCs w:val="20"/>
              </w:rPr>
              <w:t>ft</w:t>
            </w:r>
            <w:proofErr w:type="spellEnd"/>
            <w:r w:rsidR="00DE1EB7">
              <w:rPr>
                <w:rFonts w:ascii="Arial" w:hAnsi="Arial" w:cs="Arial"/>
                <w:sz w:val="20"/>
                <w:szCs w:val="20"/>
              </w:rPr>
              <w:t xml:space="preserve">) was generally successful in reducing the excess pore pressure ratios and preventing liquefaction, particularly for the upper portion of the profile.  However, the measured settlement associated with the test for the drains at 3 </w:t>
            </w:r>
            <w:proofErr w:type="spellStart"/>
            <w:r w:rsidR="00DE1EB7">
              <w:rPr>
                <w:rFonts w:ascii="Arial" w:hAnsi="Arial" w:cs="Arial"/>
                <w:sz w:val="20"/>
                <w:szCs w:val="20"/>
              </w:rPr>
              <w:t>ft</w:t>
            </w:r>
            <w:proofErr w:type="spellEnd"/>
            <w:r w:rsidR="00DE1EB7">
              <w:rPr>
                <w:rFonts w:ascii="Arial" w:hAnsi="Arial" w:cs="Arial"/>
                <w:sz w:val="20"/>
                <w:szCs w:val="20"/>
              </w:rPr>
              <w:t xml:space="preserve"> spacing is actually a little higher than for the drains at 4 </w:t>
            </w:r>
            <w:proofErr w:type="spellStart"/>
            <w:r w:rsidR="00DE1EB7">
              <w:rPr>
                <w:rFonts w:ascii="Arial" w:hAnsi="Arial" w:cs="Arial"/>
                <w:sz w:val="20"/>
                <w:szCs w:val="20"/>
              </w:rPr>
              <w:t>ft</w:t>
            </w:r>
            <w:proofErr w:type="spellEnd"/>
            <w:r w:rsidR="00DE1EB7">
              <w:rPr>
                <w:rFonts w:ascii="Arial" w:hAnsi="Arial" w:cs="Arial"/>
                <w:sz w:val="20"/>
                <w:szCs w:val="20"/>
              </w:rPr>
              <w:t xml:space="preserve"> spacing.  But after correcting for the different </w:t>
            </w:r>
            <w:r w:rsidR="00C227ED">
              <w:rPr>
                <w:rFonts w:ascii="Arial" w:hAnsi="Arial" w:cs="Arial"/>
                <w:sz w:val="20"/>
                <w:szCs w:val="20"/>
              </w:rPr>
              <w:t xml:space="preserve">initial </w:t>
            </w:r>
            <w:r w:rsidR="00DE1EB7">
              <w:rPr>
                <w:rFonts w:ascii="Arial" w:hAnsi="Arial" w:cs="Arial"/>
                <w:sz w:val="20"/>
                <w:szCs w:val="20"/>
              </w:rPr>
              <w:t xml:space="preserve">sand heights for the two tests (14.5 </w:t>
            </w:r>
            <w:proofErr w:type="spellStart"/>
            <w:r w:rsidR="00DE1EB7">
              <w:rPr>
                <w:rFonts w:ascii="Arial" w:hAnsi="Arial" w:cs="Arial"/>
                <w:sz w:val="20"/>
                <w:szCs w:val="20"/>
              </w:rPr>
              <w:t>ft</w:t>
            </w:r>
            <w:proofErr w:type="spellEnd"/>
            <w:r w:rsidR="00DE1EB7">
              <w:rPr>
                <w:rFonts w:ascii="Arial" w:hAnsi="Arial" w:cs="Arial"/>
                <w:sz w:val="20"/>
                <w:szCs w:val="20"/>
              </w:rPr>
              <w:t xml:space="preserve"> for the 4 </w:t>
            </w:r>
            <w:proofErr w:type="spellStart"/>
            <w:r w:rsidR="00DE1EB7">
              <w:rPr>
                <w:rFonts w:ascii="Arial" w:hAnsi="Arial" w:cs="Arial"/>
                <w:sz w:val="20"/>
                <w:szCs w:val="20"/>
              </w:rPr>
              <w:t>ft</w:t>
            </w:r>
            <w:proofErr w:type="spellEnd"/>
            <w:r w:rsidR="00DE1EB7">
              <w:rPr>
                <w:rFonts w:ascii="Arial" w:hAnsi="Arial" w:cs="Arial"/>
                <w:sz w:val="20"/>
                <w:szCs w:val="20"/>
              </w:rPr>
              <w:t xml:space="preserve"> spacing and 16.5 </w:t>
            </w:r>
            <w:proofErr w:type="spellStart"/>
            <w:r w:rsidR="00DE1EB7">
              <w:rPr>
                <w:rFonts w:ascii="Arial" w:hAnsi="Arial" w:cs="Arial"/>
                <w:sz w:val="20"/>
                <w:szCs w:val="20"/>
              </w:rPr>
              <w:t>ft</w:t>
            </w:r>
            <w:proofErr w:type="spellEnd"/>
            <w:r w:rsidR="00DE1EB7">
              <w:rPr>
                <w:rFonts w:ascii="Arial" w:hAnsi="Arial" w:cs="Arial"/>
                <w:sz w:val="20"/>
                <w:szCs w:val="20"/>
              </w:rPr>
              <w:t xml:space="preserve"> for the </w:t>
            </w:r>
            <w:r w:rsidR="00C227ED">
              <w:rPr>
                <w:rFonts w:ascii="Arial" w:hAnsi="Arial" w:cs="Arial"/>
                <w:sz w:val="20"/>
                <w:szCs w:val="20"/>
              </w:rPr>
              <w:t xml:space="preserve">3 </w:t>
            </w:r>
            <w:proofErr w:type="spellStart"/>
            <w:r w:rsidR="00C227ED">
              <w:rPr>
                <w:rFonts w:ascii="Arial" w:hAnsi="Arial" w:cs="Arial"/>
                <w:sz w:val="20"/>
                <w:szCs w:val="20"/>
              </w:rPr>
              <w:t>ft</w:t>
            </w:r>
            <w:proofErr w:type="spellEnd"/>
            <w:r w:rsidR="00C227ED">
              <w:rPr>
                <w:rFonts w:ascii="Arial" w:hAnsi="Arial" w:cs="Arial"/>
                <w:sz w:val="20"/>
                <w:szCs w:val="20"/>
              </w:rPr>
              <w:t xml:space="preserve"> spacing</w:t>
            </w:r>
            <w:r w:rsidR="00DE1EB7">
              <w:rPr>
                <w:rFonts w:ascii="Arial" w:hAnsi="Arial" w:cs="Arial"/>
                <w:sz w:val="20"/>
                <w:szCs w:val="20"/>
              </w:rPr>
              <w:t xml:space="preserve">) the </w:t>
            </w:r>
            <w:r w:rsidR="00C227ED">
              <w:rPr>
                <w:rFonts w:ascii="Arial" w:hAnsi="Arial" w:cs="Arial"/>
                <w:sz w:val="20"/>
                <w:szCs w:val="20"/>
              </w:rPr>
              <w:t xml:space="preserve">total </w:t>
            </w:r>
            <w:r w:rsidR="00DE1EB7">
              <w:rPr>
                <w:rFonts w:ascii="Arial" w:hAnsi="Arial" w:cs="Arial"/>
                <w:sz w:val="20"/>
                <w:szCs w:val="20"/>
              </w:rPr>
              <w:t>settlement</w:t>
            </w:r>
            <w:r w:rsidR="00C227ED">
              <w:rPr>
                <w:rFonts w:ascii="Arial" w:hAnsi="Arial" w:cs="Arial"/>
                <w:sz w:val="20"/>
                <w:szCs w:val="20"/>
              </w:rPr>
              <w:t>s</w:t>
            </w:r>
            <w:r w:rsidR="00DE1EB7">
              <w:rPr>
                <w:rFonts w:ascii="Arial" w:hAnsi="Arial" w:cs="Arial"/>
                <w:sz w:val="20"/>
                <w:szCs w:val="20"/>
              </w:rPr>
              <w:t xml:space="preserve"> are nearly identical.</w:t>
            </w:r>
            <w:r w:rsidR="00C227ED">
              <w:rPr>
                <w:rFonts w:ascii="Arial" w:hAnsi="Arial" w:cs="Arial"/>
                <w:sz w:val="20"/>
                <w:szCs w:val="20"/>
              </w:rPr>
              <w:t xml:space="preserve">  </w:t>
            </w:r>
            <w:r w:rsidR="003B6134">
              <w:rPr>
                <w:rFonts w:ascii="Arial" w:hAnsi="Arial" w:cs="Arial"/>
                <w:sz w:val="20"/>
                <w:szCs w:val="20"/>
              </w:rPr>
              <w:t>Nevertheless, t</w:t>
            </w:r>
            <w:r w:rsidR="00C227ED">
              <w:rPr>
                <w:rFonts w:ascii="Arial" w:hAnsi="Arial" w:cs="Arial"/>
                <w:sz w:val="20"/>
                <w:szCs w:val="20"/>
              </w:rPr>
              <w:t>he settlement distribution throughout the</w:t>
            </w:r>
            <w:r w:rsidR="003B6134">
              <w:rPr>
                <w:rFonts w:ascii="Arial" w:hAnsi="Arial" w:cs="Arial"/>
                <w:sz w:val="20"/>
                <w:szCs w:val="20"/>
              </w:rPr>
              <w:t xml:space="preserve"> profile is somewhat different for each test.</w:t>
            </w:r>
          </w:p>
          <w:p w:rsidR="003B6134" w:rsidRDefault="003B6134" w:rsidP="00360664">
            <w:pPr>
              <w:spacing w:after="0" w:line="240" w:lineRule="auto"/>
              <w:rPr>
                <w:rFonts w:ascii="Arial" w:hAnsi="Arial" w:cs="Arial"/>
                <w:sz w:val="20"/>
                <w:szCs w:val="20"/>
              </w:rPr>
            </w:pPr>
          </w:p>
          <w:p w:rsidR="00131F1B" w:rsidRDefault="003B6134" w:rsidP="00360664">
            <w:pPr>
              <w:spacing w:after="0" w:line="240" w:lineRule="auto"/>
              <w:rPr>
                <w:rFonts w:ascii="Arial" w:hAnsi="Arial" w:cs="Arial"/>
                <w:sz w:val="20"/>
                <w:szCs w:val="20"/>
              </w:rPr>
            </w:pPr>
            <w:r>
              <w:rPr>
                <w:rFonts w:ascii="Arial" w:hAnsi="Arial" w:cs="Arial"/>
                <w:sz w:val="20"/>
                <w:szCs w:val="20"/>
              </w:rPr>
              <w:t xml:space="preserve">Plots showing time histories of acceleration and </w:t>
            </w:r>
            <w:r w:rsidR="00AF6033">
              <w:rPr>
                <w:rFonts w:ascii="Arial" w:hAnsi="Arial" w:cs="Arial"/>
                <w:sz w:val="20"/>
                <w:szCs w:val="20"/>
              </w:rPr>
              <w:t xml:space="preserve">time histories of </w:t>
            </w:r>
            <w:r>
              <w:rPr>
                <w:rFonts w:ascii="Arial" w:hAnsi="Arial" w:cs="Arial"/>
                <w:sz w:val="20"/>
                <w:szCs w:val="20"/>
              </w:rPr>
              <w:t>excess pore pressure ratio</w:t>
            </w:r>
            <w:r w:rsidR="00AF6033">
              <w:rPr>
                <w:rFonts w:ascii="Arial" w:hAnsi="Arial" w:cs="Arial"/>
                <w:sz w:val="20"/>
                <w:szCs w:val="20"/>
              </w:rPr>
              <w:t xml:space="preserve"> at various depths within the profile are provided in Figures 3 and 4 for the tests with drain </w:t>
            </w:r>
            <w:proofErr w:type="spellStart"/>
            <w:r w:rsidR="00AF6033">
              <w:rPr>
                <w:rFonts w:ascii="Arial" w:hAnsi="Arial" w:cs="Arial"/>
                <w:sz w:val="20"/>
                <w:szCs w:val="20"/>
              </w:rPr>
              <w:t>spacings</w:t>
            </w:r>
            <w:proofErr w:type="spellEnd"/>
            <w:r w:rsidR="00AF6033">
              <w:rPr>
                <w:rFonts w:ascii="Arial" w:hAnsi="Arial" w:cs="Arial"/>
                <w:sz w:val="20"/>
                <w:szCs w:val="20"/>
              </w:rPr>
              <w:t xml:space="preserve"> of 4 </w:t>
            </w:r>
            <w:proofErr w:type="spellStart"/>
            <w:r w:rsidR="00AF6033">
              <w:rPr>
                <w:rFonts w:ascii="Arial" w:hAnsi="Arial" w:cs="Arial"/>
                <w:sz w:val="20"/>
                <w:szCs w:val="20"/>
              </w:rPr>
              <w:t>ft</w:t>
            </w:r>
            <w:proofErr w:type="spellEnd"/>
            <w:r w:rsidR="00AF6033">
              <w:rPr>
                <w:rFonts w:ascii="Arial" w:hAnsi="Arial" w:cs="Arial"/>
                <w:sz w:val="20"/>
                <w:szCs w:val="20"/>
              </w:rPr>
              <w:t xml:space="preserve"> and 3 </w:t>
            </w:r>
            <w:proofErr w:type="spellStart"/>
            <w:r w:rsidR="00AF6033">
              <w:rPr>
                <w:rFonts w:ascii="Arial" w:hAnsi="Arial" w:cs="Arial"/>
                <w:sz w:val="20"/>
                <w:szCs w:val="20"/>
              </w:rPr>
              <w:t>ft</w:t>
            </w:r>
            <w:proofErr w:type="spellEnd"/>
            <w:r w:rsidR="00AF6033">
              <w:rPr>
                <w:rFonts w:ascii="Arial" w:hAnsi="Arial" w:cs="Arial"/>
                <w:sz w:val="20"/>
                <w:szCs w:val="20"/>
              </w:rPr>
              <w:t xml:space="preserve">, respectively.  In both cases, the peak accelerations are closer to 0.3g through most of the profile although the peak base acceleration level was 0.2g.  The time histories of excess pore pressure ratio for both the 4 </w:t>
            </w:r>
            <w:proofErr w:type="spellStart"/>
            <w:r w:rsidR="00AF6033">
              <w:rPr>
                <w:rFonts w:ascii="Arial" w:hAnsi="Arial" w:cs="Arial"/>
                <w:sz w:val="20"/>
                <w:szCs w:val="20"/>
              </w:rPr>
              <w:t>ft</w:t>
            </w:r>
            <w:proofErr w:type="spellEnd"/>
            <w:r w:rsidR="00AF6033">
              <w:rPr>
                <w:rFonts w:ascii="Arial" w:hAnsi="Arial" w:cs="Arial"/>
                <w:sz w:val="20"/>
                <w:szCs w:val="20"/>
              </w:rPr>
              <w:t xml:space="preserve"> and 3 </w:t>
            </w:r>
            <w:proofErr w:type="spellStart"/>
            <w:r w:rsidR="00AF6033">
              <w:rPr>
                <w:rFonts w:ascii="Arial" w:hAnsi="Arial" w:cs="Arial"/>
                <w:sz w:val="20"/>
                <w:szCs w:val="20"/>
              </w:rPr>
              <w:t>ft</w:t>
            </w:r>
            <w:proofErr w:type="spellEnd"/>
            <w:r w:rsidR="00AF6033">
              <w:rPr>
                <w:rFonts w:ascii="Arial" w:hAnsi="Arial" w:cs="Arial"/>
                <w:sz w:val="20"/>
                <w:szCs w:val="20"/>
              </w:rPr>
              <w:t xml:space="preserve"> </w:t>
            </w:r>
            <w:r w:rsidR="00821AC5">
              <w:rPr>
                <w:rFonts w:ascii="Arial" w:hAnsi="Arial" w:cs="Arial"/>
                <w:sz w:val="20"/>
                <w:szCs w:val="20"/>
              </w:rPr>
              <w:t xml:space="preserve">drain </w:t>
            </w:r>
            <w:proofErr w:type="spellStart"/>
            <w:r w:rsidR="00AF6033">
              <w:rPr>
                <w:rFonts w:ascii="Arial" w:hAnsi="Arial" w:cs="Arial"/>
                <w:sz w:val="20"/>
                <w:szCs w:val="20"/>
              </w:rPr>
              <w:t>spacings</w:t>
            </w:r>
            <w:proofErr w:type="spellEnd"/>
            <w:r w:rsidR="00AF6033">
              <w:rPr>
                <w:rFonts w:ascii="Arial" w:hAnsi="Arial" w:cs="Arial"/>
                <w:sz w:val="20"/>
                <w:szCs w:val="20"/>
              </w:rPr>
              <w:t xml:space="preserve"> show </w:t>
            </w:r>
            <w:r w:rsidR="00D76A8C">
              <w:rPr>
                <w:rFonts w:ascii="Arial" w:hAnsi="Arial" w:cs="Arial"/>
                <w:sz w:val="20"/>
                <w:szCs w:val="20"/>
              </w:rPr>
              <w:t xml:space="preserve">significant oscillations near the ground surface.  This appears to be a result of dilation at high strain levels at low confining pressures.  Nevertheless, the excess pore pressure ratios near the surface </w:t>
            </w:r>
            <w:r w:rsidR="00146E2F">
              <w:rPr>
                <w:rFonts w:ascii="Arial" w:hAnsi="Arial" w:cs="Arial"/>
                <w:sz w:val="20"/>
                <w:szCs w:val="20"/>
              </w:rPr>
              <w:t>were</w:t>
            </w:r>
            <w:r w:rsidR="00D76A8C">
              <w:rPr>
                <w:rFonts w:ascii="Arial" w:hAnsi="Arial" w:cs="Arial"/>
                <w:sz w:val="20"/>
                <w:szCs w:val="20"/>
              </w:rPr>
              <w:t xml:space="preserve"> limited to about </w:t>
            </w:r>
            <w:r w:rsidR="00146E2F">
              <w:rPr>
                <w:rFonts w:ascii="Arial" w:hAnsi="Arial" w:cs="Arial"/>
                <w:sz w:val="20"/>
                <w:szCs w:val="20"/>
              </w:rPr>
              <w:t xml:space="preserve">0.6 to 0.7 for the 3 </w:t>
            </w:r>
            <w:proofErr w:type="spellStart"/>
            <w:r w:rsidR="00146E2F">
              <w:rPr>
                <w:rFonts w:ascii="Arial" w:hAnsi="Arial" w:cs="Arial"/>
                <w:sz w:val="20"/>
                <w:szCs w:val="20"/>
              </w:rPr>
              <w:t>ft</w:t>
            </w:r>
            <w:proofErr w:type="spellEnd"/>
            <w:r w:rsidR="00146E2F">
              <w:rPr>
                <w:rFonts w:ascii="Arial" w:hAnsi="Arial" w:cs="Arial"/>
                <w:sz w:val="20"/>
                <w:szCs w:val="20"/>
              </w:rPr>
              <w:t xml:space="preserve"> spacing whereas liquefaction developed (excess pore pressure ratio of 1.0) for the 4 </w:t>
            </w:r>
            <w:proofErr w:type="spellStart"/>
            <w:r w:rsidR="00146E2F">
              <w:rPr>
                <w:rFonts w:ascii="Arial" w:hAnsi="Arial" w:cs="Arial"/>
                <w:sz w:val="20"/>
                <w:szCs w:val="20"/>
              </w:rPr>
              <w:t>ft</w:t>
            </w:r>
            <w:proofErr w:type="spellEnd"/>
            <w:r w:rsidR="00146E2F">
              <w:rPr>
                <w:rFonts w:ascii="Arial" w:hAnsi="Arial" w:cs="Arial"/>
                <w:sz w:val="20"/>
                <w:szCs w:val="20"/>
              </w:rPr>
              <w:t xml:space="preserve"> spacing.  Although the pore pressure ratios are clearly lower, the ratios may still have reached high enough levels to produce settlement.</w:t>
            </w:r>
            <w:r w:rsidR="00D76A8C">
              <w:rPr>
                <w:rFonts w:ascii="Arial" w:hAnsi="Arial" w:cs="Arial"/>
                <w:sz w:val="20"/>
                <w:szCs w:val="20"/>
              </w:rPr>
              <w:t xml:space="preserve">    </w:t>
            </w:r>
          </w:p>
          <w:p w:rsidR="00131F1B" w:rsidRDefault="00131F1B" w:rsidP="00360664">
            <w:pPr>
              <w:spacing w:after="0" w:line="240" w:lineRule="auto"/>
              <w:rPr>
                <w:rFonts w:ascii="Arial" w:hAnsi="Arial" w:cs="Arial"/>
                <w:sz w:val="20"/>
                <w:szCs w:val="20"/>
              </w:rPr>
            </w:pPr>
            <w:bookmarkStart w:id="0" w:name="_GoBack"/>
            <w:bookmarkEnd w:id="0"/>
          </w:p>
          <w:p w:rsidR="00146E2F" w:rsidRDefault="00146E2F" w:rsidP="00360664">
            <w:pPr>
              <w:spacing w:after="0" w:line="240" w:lineRule="auto"/>
              <w:rPr>
                <w:rFonts w:ascii="Arial" w:hAnsi="Arial" w:cs="Arial"/>
                <w:sz w:val="20"/>
                <w:szCs w:val="20"/>
              </w:rPr>
            </w:pPr>
            <w:r>
              <w:rPr>
                <w:rFonts w:ascii="Arial" w:hAnsi="Arial" w:cs="Arial"/>
                <w:sz w:val="20"/>
                <w:szCs w:val="20"/>
              </w:rPr>
              <w:t xml:space="preserve">In order to evaluate the performance of the sand for the two drain </w:t>
            </w:r>
            <w:proofErr w:type="spellStart"/>
            <w:r>
              <w:rPr>
                <w:rFonts w:ascii="Arial" w:hAnsi="Arial" w:cs="Arial"/>
                <w:sz w:val="20"/>
                <w:szCs w:val="20"/>
              </w:rPr>
              <w:t>spacings</w:t>
            </w:r>
            <w:proofErr w:type="spellEnd"/>
            <w:r>
              <w:rPr>
                <w:rFonts w:ascii="Arial" w:hAnsi="Arial" w:cs="Arial"/>
                <w:sz w:val="20"/>
                <w:szCs w:val="20"/>
              </w:rPr>
              <w:t xml:space="preserve">, we anticipate that it will be necessary to perform a more sophisticated statistical analysis.  Comparisons can be made on a layer by layer basis where </w:t>
            </w:r>
            <w:r w:rsidR="001268B7">
              <w:rPr>
                <w:rFonts w:ascii="Arial" w:hAnsi="Arial" w:cs="Arial"/>
                <w:sz w:val="20"/>
                <w:szCs w:val="20"/>
              </w:rPr>
              <w:t xml:space="preserve">settlement can be related to </w:t>
            </w:r>
            <w:r>
              <w:rPr>
                <w:rFonts w:ascii="Arial" w:hAnsi="Arial" w:cs="Arial"/>
                <w:sz w:val="20"/>
                <w:szCs w:val="20"/>
              </w:rPr>
              <w:t xml:space="preserve">factors such as </w:t>
            </w:r>
            <w:r w:rsidR="001268B7">
              <w:rPr>
                <w:rFonts w:ascii="Arial" w:hAnsi="Arial" w:cs="Arial"/>
                <w:sz w:val="20"/>
                <w:szCs w:val="20"/>
              </w:rPr>
              <w:t>excess</w:t>
            </w:r>
            <w:r>
              <w:rPr>
                <w:rFonts w:ascii="Arial" w:hAnsi="Arial" w:cs="Arial"/>
                <w:sz w:val="20"/>
                <w:szCs w:val="20"/>
              </w:rPr>
              <w:t xml:space="preserve"> pore pressure ratio</w:t>
            </w:r>
            <w:r w:rsidR="001268B7">
              <w:rPr>
                <w:rFonts w:ascii="Arial" w:hAnsi="Arial" w:cs="Arial"/>
                <w:sz w:val="20"/>
                <w:szCs w:val="20"/>
              </w:rPr>
              <w:t>,</w:t>
            </w:r>
            <w:r w:rsidR="00E95B33">
              <w:rPr>
                <w:rFonts w:ascii="Arial" w:hAnsi="Arial" w:cs="Arial"/>
                <w:sz w:val="20"/>
                <w:szCs w:val="20"/>
              </w:rPr>
              <w:t xml:space="preserve"> </w:t>
            </w:r>
            <w:r>
              <w:rPr>
                <w:rFonts w:ascii="Arial" w:hAnsi="Arial" w:cs="Arial"/>
                <w:sz w:val="20"/>
                <w:szCs w:val="20"/>
              </w:rPr>
              <w:t xml:space="preserve">shear strain, </w:t>
            </w:r>
            <w:r w:rsidR="001268B7">
              <w:rPr>
                <w:rFonts w:ascii="Arial" w:hAnsi="Arial" w:cs="Arial"/>
                <w:sz w:val="20"/>
                <w:szCs w:val="20"/>
              </w:rPr>
              <w:t xml:space="preserve">peak </w:t>
            </w:r>
            <w:r>
              <w:rPr>
                <w:rFonts w:ascii="Arial" w:hAnsi="Arial" w:cs="Arial"/>
                <w:sz w:val="20"/>
                <w:szCs w:val="20"/>
              </w:rPr>
              <w:t>acceleration</w:t>
            </w:r>
            <w:r w:rsidR="001268B7">
              <w:rPr>
                <w:rFonts w:ascii="Arial" w:hAnsi="Arial" w:cs="Arial"/>
                <w:sz w:val="20"/>
                <w:szCs w:val="20"/>
              </w:rPr>
              <w:t>, duration of excess pore pressure, etc.</w:t>
            </w:r>
            <w:r>
              <w:rPr>
                <w:rFonts w:ascii="Arial" w:hAnsi="Arial" w:cs="Arial"/>
                <w:sz w:val="20"/>
                <w:szCs w:val="20"/>
              </w:rPr>
              <w:t xml:space="preserve"> </w:t>
            </w:r>
            <w:r w:rsidR="001268B7">
              <w:rPr>
                <w:rFonts w:ascii="Arial" w:hAnsi="Arial" w:cs="Arial"/>
                <w:sz w:val="20"/>
                <w:szCs w:val="20"/>
              </w:rPr>
              <w:t xml:space="preserve">Although settlement is similar for both drain </w:t>
            </w:r>
            <w:proofErr w:type="spellStart"/>
            <w:r w:rsidR="001268B7">
              <w:rPr>
                <w:rFonts w:ascii="Arial" w:hAnsi="Arial" w:cs="Arial"/>
                <w:sz w:val="20"/>
                <w:szCs w:val="20"/>
              </w:rPr>
              <w:t>spacings</w:t>
            </w:r>
            <w:proofErr w:type="spellEnd"/>
            <w:r w:rsidR="001268B7">
              <w:rPr>
                <w:rFonts w:ascii="Arial" w:hAnsi="Arial" w:cs="Arial"/>
                <w:sz w:val="20"/>
                <w:szCs w:val="20"/>
              </w:rPr>
              <w:t xml:space="preserve">, </w:t>
            </w:r>
            <w:r w:rsidRPr="00146E2F">
              <w:rPr>
                <w:rFonts w:ascii="Arial" w:hAnsi="Arial" w:cs="Arial"/>
                <w:sz w:val="20"/>
                <w:szCs w:val="20"/>
              </w:rPr>
              <w:t xml:space="preserve">the settlement may be associated with layers that are not strongly affected by drainage near the surface or may be associated with higher levels of acceleration or shear strain in the PVD2 tests.  Peak acceleration levels for the tests with drains at 3 </w:t>
            </w:r>
            <w:proofErr w:type="spellStart"/>
            <w:r w:rsidRPr="00146E2F">
              <w:rPr>
                <w:rFonts w:ascii="Arial" w:hAnsi="Arial" w:cs="Arial"/>
                <w:sz w:val="20"/>
                <w:szCs w:val="20"/>
              </w:rPr>
              <w:t>ft</w:t>
            </w:r>
            <w:proofErr w:type="spellEnd"/>
            <w:r w:rsidRPr="00146E2F">
              <w:rPr>
                <w:rFonts w:ascii="Arial" w:hAnsi="Arial" w:cs="Arial"/>
                <w:sz w:val="20"/>
                <w:szCs w:val="20"/>
              </w:rPr>
              <w:t xml:space="preserve"> spacing were higher in some cases than for the tests with drains at 4 </w:t>
            </w:r>
            <w:proofErr w:type="spellStart"/>
            <w:r w:rsidRPr="00146E2F">
              <w:rPr>
                <w:rFonts w:ascii="Arial" w:hAnsi="Arial" w:cs="Arial"/>
                <w:sz w:val="20"/>
                <w:szCs w:val="20"/>
              </w:rPr>
              <w:t>ft</w:t>
            </w:r>
            <w:proofErr w:type="spellEnd"/>
            <w:r w:rsidRPr="00146E2F">
              <w:rPr>
                <w:rFonts w:ascii="Arial" w:hAnsi="Arial" w:cs="Arial"/>
                <w:sz w:val="20"/>
                <w:szCs w:val="20"/>
              </w:rPr>
              <w:t xml:space="preserve"> </w:t>
            </w:r>
            <w:proofErr w:type="spellStart"/>
            <w:r w:rsidRPr="00146E2F">
              <w:rPr>
                <w:rFonts w:ascii="Arial" w:hAnsi="Arial" w:cs="Arial"/>
                <w:sz w:val="20"/>
                <w:szCs w:val="20"/>
              </w:rPr>
              <w:t>spacings</w:t>
            </w:r>
            <w:proofErr w:type="spellEnd"/>
            <w:r w:rsidRPr="00146E2F">
              <w:rPr>
                <w:rFonts w:ascii="Arial" w:hAnsi="Arial" w:cs="Arial"/>
                <w:sz w:val="20"/>
                <w:szCs w:val="20"/>
              </w:rPr>
              <w:t>.  Therefore, final conclusions regarding the performance of the drains must await additional study on a layer by layer basis.</w:t>
            </w: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Default="00131F1B" w:rsidP="00360664">
            <w:pPr>
              <w:spacing w:after="0" w:line="240" w:lineRule="auto"/>
              <w:rPr>
                <w:rFonts w:ascii="Arial" w:hAnsi="Arial" w:cs="Arial"/>
                <w:sz w:val="20"/>
                <w:szCs w:val="20"/>
              </w:rPr>
            </w:pPr>
          </w:p>
          <w:p w:rsidR="00131F1B" w:rsidRPr="00474477" w:rsidRDefault="00131F1B" w:rsidP="00360664">
            <w:pPr>
              <w:spacing w:after="0" w:line="240" w:lineRule="auto"/>
              <w:rPr>
                <w:rFonts w:ascii="Arial" w:hAnsi="Arial" w:cs="Arial"/>
                <w:sz w:val="20"/>
                <w:szCs w:val="20"/>
              </w:rPr>
            </w:pPr>
          </w:p>
          <w:p w:rsidR="00E2307B" w:rsidRDefault="00E2307B" w:rsidP="00E2307B">
            <w:pPr>
              <w:rPr>
                <w:b/>
              </w:rPr>
            </w:pPr>
            <w:r>
              <w:rPr>
                <w:b/>
                <w:noProof/>
              </w:rPr>
              <mc:AlternateContent>
                <mc:Choice Requires="wps">
                  <w:drawing>
                    <wp:anchor distT="0" distB="0" distL="114300" distR="114300" simplePos="0" relativeHeight="251659264" behindDoc="0" locked="0" layoutInCell="1" allowOverlap="1" wp14:anchorId="53821C72" wp14:editId="418A1A6E">
                      <wp:simplePos x="0" y="0"/>
                      <wp:positionH relativeFrom="column">
                        <wp:posOffset>1116330</wp:posOffset>
                      </wp:positionH>
                      <wp:positionV relativeFrom="paragraph">
                        <wp:posOffset>520700</wp:posOffset>
                      </wp:positionV>
                      <wp:extent cx="80010" cy="80010"/>
                      <wp:effectExtent l="0" t="0" r="15240" b="15240"/>
                      <wp:wrapNone/>
                      <wp:docPr id="125" name="Oval 125"/>
                      <wp:cNvGraphicFramePr/>
                      <a:graphic xmlns:a="http://schemas.openxmlformats.org/drawingml/2006/main">
                        <a:graphicData uri="http://schemas.microsoft.com/office/word/2010/wordprocessingShape">
                          <wps:wsp>
                            <wps:cNvSpPr/>
                            <wps:spPr>
                              <a:xfrm>
                                <a:off x="0" y="0"/>
                                <a:ext cx="80010" cy="8001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5" o:spid="_x0000_s1026" style="position:absolute;margin-left:87.9pt;margin-top:41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" filled="f" strokecolor="black [1600]" strokeweight="2pt"/>
                  </w:pict>
                </mc:Fallback>
              </mc:AlternateContent>
            </w:r>
            <w:r>
              <w:rPr>
                <w:b/>
                <w:noProof/>
              </w:rPr>
              <w:drawing>
                <wp:inline distT="0" distB="0" distL="0" distR="0" wp14:anchorId="6A24BFB5" wp14:editId="1EDB631D">
                  <wp:extent cx="6081541" cy="26955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080" cy="2696700"/>
                          </a:xfrm>
                          <a:prstGeom prst="rect">
                            <a:avLst/>
                          </a:prstGeom>
                          <a:noFill/>
                        </pic:spPr>
                      </pic:pic>
                    </a:graphicData>
                  </a:graphic>
                </wp:inline>
              </w:drawing>
            </w:r>
          </w:p>
          <w:p w:rsidR="00E2307B" w:rsidRDefault="00E2307B" w:rsidP="00131F1B">
            <w:pPr>
              <w:spacing w:line="240" w:lineRule="auto"/>
              <w:rPr>
                <w:b/>
              </w:rPr>
            </w:pPr>
            <w:r w:rsidRPr="000D500F">
              <w:rPr>
                <w:b/>
              </w:rPr>
              <w:t xml:space="preserve">Fig. </w:t>
            </w:r>
            <w:r w:rsidR="00131F1B">
              <w:rPr>
                <w:b/>
              </w:rPr>
              <w:t xml:space="preserve">1 </w:t>
            </w:r>
            <w:r w:rsidRPr="000D500F">
              <w:rPr>
                <w:b/>
              </w:rPr>
              <w:t xml:space="preserve">Profiles of liquefaction induced settlement and maximum excess pore pressure ratio (PPR) </w:t>
            </w:r>
            <w:r w:rsidR="004C7444">
              <w:rPr>
                <w:b/>
              </w:rPr>
              <w:t>with depth (</w:t>
            </w:r>
            <w:proofErr w:type="spellStart"/>
            <w:r w:rsidR="004C7444">
              <w:rPr>
                <w:b/>
              </w:rPr>
              <w:t>ft</w:t>
            </w:r>
            <w:proofErr w:type="spellEnd"/>
            <w:r w:rsidR="004C7444">
              <w:rPr>
                <w:b/>
              </w:rPr>
              <w:t xml:space="preserve">) </w:t>
            </w:r>
            <w:r w:rsidRPr="000D500F">
              <w:rPr>
                <w:b/>
              </w:rPr>
              <w:t xml:space="preserve">for third round test with </w:t>
            </w:r>
            <w:proofErr w:type="spellStart"/>
            <w:r w:rsidRPr="000D500F">
              <w:rPr>
                <w:b/>
              </w:rPr>
              <w:t>a</w:t>
            </w:r>
            <w:r w:rsidRPr="000D500F">
              <w:rPr>
                <w:b/>
                <w:vertAlign w:val="subscript"/>
              </w:rPr>
              <w:t>max</w:t>
            </w:r>
            <w:proofErr w:type="spellEnd"/>
            <w:r w:rsidRPr="000D500F">
              <w:rPr>
                <w:b/>
              </w:rPr>
              <w:t>=0.20 g</w:t>
            </w:r>
            <w:r>
              <w:rPr>
                <w:b/>
              </w:rPr>
              <w:t xml:space="preserve"> for </w:t>
            </w:r>
            <w:r w:rsidR="00131F1B">
              <w:rPr>
                <w:b/>
              </w:rPr>
              <w:t xml:space="preserve">drains at </w:t>
            </w:r>
            <w:r>
              <w:rPr>
                <w:b/>
              </w:rPr>
              <w:t>4</w:t>
            </w:r>
            <w:r w:rsidR="00131F1B">
              <w:rPr>
                <w:b/>
              </w:rPr>
              <w:t>-</w:t>
            </w:r>
            <w:r>
              <w:rPr>
                <w:b/>
              </w:rPr>
              <w:t>ft spacing</w:t>
            </w:r>
            <w:r w:rsidRPr="000D500F">
              <w:rPr>
                <w:b/>
              </w:rPr>
              <w:t>.</w:t>
            </w:r>
          </w:p>
          <w:p w:rsidR="00131F1B" w:rsidRDefault="00131F1B" w:rsidP="00131F1B">
            <w:pPr>
              <w:spacing w:line="240" w:lineRule="auto"/>
              <w:rPr>
                <w:b/>
              </w:rPr>
            </w:pPr>
          </w:p>
          <w:p w:rsidR="00131F1B" w:rsidRDefault="00131F1B" w:rsidP="00131F1B">
            <w:pPr>
              <w:rPr>
                <w:b/>
              </w:rPr>
            </w:pPr>
            <w:r w:rsidRPr="00BE22F5">
              <w:rPr>
                <w:noProof/>
              </w:rPr>
              <w:drawing>
                <wp:inline distT="0" distB="0" distL="0" distR="0" wp14:anchorId="617619A3" wp14:editId="0AC274B5">
                  <wp:extent cx="5943600" cy="2617871"/>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17871"/>
                          </a:xfrm>
                          <a:prstGeom prst="rect">
                            <a:avLst/>
                          </a:prstGeom>
                          <a:noFill/>
                          <a:ln>
                            <a:noFill/>
                          </a:ln>
                        </pic:spPr>
                      </pic:pic>
                    </a:graphicData>
                  </a:graphic>
                </wp:inline>
              </w:drawing>
            </w:r>
          </w:p>
          <w:p w:rsidR="00131F1B" w:rsidRPr="000D500F" w:rsidRDefault="00131F1B" w:rsidP="00131F1B">
            <w:pPr>
              <w:spacing w:line="240" w:lineRule="auto"/>
              <w:rPr>
                <w:b/>
              </w:rPr>
            </w:pPr>
            <w:r w:rsidRPr="000D500F">
              <w:rPr>
                <w:b/>
              </w:rPr>
              <w:t xml:space="preserve">Fig. </w:t>
            </w:r>
            <w:r>
              <w:rPr>
                <w:b/>
              </w:rPr>
              <w:t>2</w:t>
            </w:r>
            <w:r w:rsidRPr="000D500F">
              <w:rPr>
                <w:b/>
              </w:rPr>
              <w:t xml:space="preserve"> Profiles of liquefaction induced settlement and maximum excess pore pressure ratio (PPR) </w:t>
            </w:r>
            <w:r w:rsidR="004C7444">
              <w:rPr>
                <w:b/>
              </w:rPr>
              <w:t>with depth (</w:t>
            </w:r>
            <w:proofErr w:type="spellStart"/>
            <w:r w:rsidR="004C7444">
              <w:rPr>
                <w:b/>
              </w:rPr>
              <w:t>ft</w:t>
            </w:r>
            <w:proofErr w:type="spellEnd"/>
            <w:r w:rsidR="004C7444">
              <w:rPr>
                <w:b/>
              </w:rPr>
              <w:t xml:space="preserve">) </w:t>
            </w:r>
            <w:r w:rsidRPr="000D500F">
              <w:rPr>
                <w:b/>
              </w:rPr>
              <w:t xml:space="preserve">for third round test with </w:t>
            </w:r>
            <w:proofErr w:type="spellStart"/>
            <w:r w:rsidRPr="000D500F">
              <w:rPr>
                <w:b/>
              </w:rPr>
              <w:t>a</w:t>
            </w:r>
            <w:r w:rsidRPr="000D500F">
              <w:rPr>
                <w:b/>
                <w:vertAlign w:val="subscript"/>
              </w:rPr>
              <w:t>max</w:t>
            </w:r>
            <w:proofErr w:type="spellEnd"/>
            <w:r w:rsidRPr="000D500F">
              <w:rPr>
                <w:b/>
              </w:rPr>
              <w:t>=0.20 g</w:t>
            </w:r>
            <w:r>
              <w:rPr>
                <w:b/>
              </w:rPr>
              <w:t xml:space="preserve"> for drains at 3-ft spacing</w:t>
            </w:r>
            <w:r w:rsidRPr="000D500F">
              <w:rPr>
                <w:b/>
              </w:rPr>
              <w:t>.</w:t>
            </w:r>
          </w:p>
          <w:p w:rsidR="00131F1B" w:rsidRPr="000D500F" w:rsidRDefault="00131F1B" w:rsidP="00131F1B">
            <w:pPr>
              <w:spacing w:line="240" w:lineRule="auto"/>
              <w:rPr>
                <w:b/>
              </w:rPr>
            </w:pPr>
          </w:p>
          <w:p w:rsidR="00E80682" w:rsidRDefault="00E2307B" w:rsidP="00553DF8">
            <w:pPr>
              <w:tabs>
                <w:tab w:val="left" w:pos="1690"/>
              </w:tabs>
              <w:spacing w:after="0" w:line="240" w:lineRule="auto"/>
              <w:rPr>
                <w:rFonts w:ascii="Arial" w:hAnsi="Arial" w:cs="Arial"/>
                <w:sz w:val="20"/>
                <w:szCs w:val="20"/>
              </w:rPr>
            </w:pPr>
            <w:r>
              <w:rPr>
                <w:b/>
                <w:noProof/>
              </w:rPr>
              <w:lastRenderedPageBreak/>
              <w:drawing>
                <wp:inline distT="0" distB="0" distL="0" distR="0" wp14:anchorId="61040C35" wp14:editId="73553FE4">
                  <wp:extent cx="6729712" cy="4214191"/>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8959" cy="4219982"/>
                          </a:xfrm>
                          <a:prstGeom prst="rect">
                            <a:avLst/>
                          </a:prstGeom>
                          <a:noFill/>
                        </pic:spPr>
                      </pic:pic>
                    </a:graphicData>
                  </a:graphic>
                </wp:inline>
              </w:drawing>
            </w:r>
          </w:p>
          <w:p w:rsidR="00E2307B" w:rsidRDefault="00E2307B" w:rsidP="00553DF8">
            <w:pPr>
              <w:tabs>
                <w:tab w:val="left" w:pos="1690"/>
              </w:tabs>
              <w:spacing w:after="0" w:line="240" w:lineRule="auto"/>
              <w:rPr>
                <w:rFonts w:ascii="Arial" w:hAnsi="Arial" w:cs="Arial"/>
                <w:sz w:val="20"/>
                <w:szCs w:val="20"/>
              </w:rPr>
            </w:pPr>
          </w:p>
          <w:p w:rsidR="00131F1B" w:rsidRDefault="00131F1B" w:rsidP="00553DF8">
            <w:pPr>
              <w:tabs>
                <w:tab w:val="left" w:pos="1690"/>
              </w:tabs>
              <w:spacing w:after="0" w:line="240" w:lineRule="auto"/>
              <w:rPr>
                <w:b/>
              </w:rPr>
            </w:pPr>
            <w:r w:rsidRPr="00096DB6">
              <w:rPr>
                <w:b/>
              </w:rPr>
              <w:t xml:space="preserve">Fig.  </w:t>
            </w:r>
            <w:r>
              <w:rPr>
                <w:b/>
              </w:rPr>
              <w:t xml:space="preserve">3 </w:t>
            </w:r>
            <w:r w:rsidRPr="00096DB6">
              <w:rPr>
                <w:b/>
              </w:rPr>
              <w:t xml:space="preserve">Acceleration and excess pore pressure ratio vs time plots at several depths for the </w:t>
            </w:r>
            <w:r>
              <w:rPr>
                <w:b/>
              </w:rPr>
              <w:t>third</w:t>
            </w:r>
            <w:r w:rsidRPr="00096DB6">
              <w:rPr>
                <w:b/>
              </w:rPr>
              <w:t xml:space="preserve"> round of tests </w:t>
            </w:r>
          </w:p>
          <w:p w:rsidR="00E2307B" w:rsidRDefault="00131F1B" w:rsidP="00553DF8">
            <w:pPr>
              <w:tabs>
                <w:tab w:val="left" w:pos="1690"/>
              </w:tabs>
              <w:spacing w:after="0" w:line="240" w:lineRule="auto"/>
              <w:rPr>
                <w:rFonts w:ascii="Arial" w:hAnsi="Arial" w:cs="Arial"/>
                <w:sz w:val="20"/>
                <w:szCs w:val="20"/>
              </w:rPr>
            </w:pPr>
            <w:proofErr w:type="gramStart"/>
            <w:r w:rsidRPr="00096DB6">
              <w:rPr>
                <w:b/>
              </w:rPr>
              <w:t>with</w:t>
            </w:r>
            <w:proofErr w:type="gramEnd"/>
            <w:r w:rsidRPr="00096DB6">
              <w:rPr>
                <w:b/>
              </w:rPr>
              <w:t xml:space="preserve"> </w:t>
            </w:r>
            <w:proofErr w:type="spellStart"/>
            <w:r w:rsidRPr="00096DB6">
              <w:rPr>
                <w:b/>
              </w:rPr>
              <w:t>a</w:t>
            </w:r>
            <w:r w:rsidRPr="00096DB6">
              <w:rPr>
                <w:b/>
                <w:vertAlign w:val="subscript"/>
              </w:rPr>
              <w:t>max</w:t>
            </w:r>
            <w:proofErr w:type="spellEnd"/>
            <w:r w:rsidRPr="00096DB6">
              <w:rPr>
                <w:b/>
              </w:rPr>
              <w:t>=0.</w:t>
            </w:r>
            <w:r>
              <w:rPr>
                <w:b/>
              </w:rPr>
              <w:t>20</w:t>
            </w:r>
            <w:r w:rsidRPr="00096DB6">
              <w:rPr>
                <w:b/>
              </w:rPr>
              <w:t>g</w:t>
            </w:r>
            <w:r>
              <w:rPr>
                <w:b/>
              </w:rPr>
              <w:t xml:space="preserve"> for drains at 4-ft spacing.</w:t>
            </w:r>
          </w:p>
          <w:p w:rsidR="00E2307B" w:rsidRDefault="00131F1B" w:rsidP="00553DF8">
            <w:pPr>
              <w:tabs>
                <w:tab w:val="left" w:pos="1690"/>
              </w:tabs>
              <w:spacing w:after="0" w:line="240" w:lineRule="auto"/>
              <w:rPr>
                <w:rFonts w:ascii="Arial" w:hAnsi="Arial" w:cs="Arial"/>
                <w:sz w:val="20"/>
                <w:szCs w:val="20"/>
              </w:rPr>
            </w:pPr>
            <w:r>
              <w:rPr>
                <w:b/>
                <w:noProof/>
              </w:rPr>
              <w:lastRenderedPageBreak/>
              <w:drawing>
                <wp:inline distT="0" distB="0" distL="0" distR="0" wp14:anchorId="28810A96" wp14:editId="797FE099">
                  <wp:extent cx="6718063" cy="421616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22571" cy="4218994"/>
                          </a:xfrm>
                          <a:prstGeom prst="rect">
                            <a:avLst/>
                          </a:prstGeom>
                          <a:noFill/>
                        </pic:spPr>
                      </pic:pic>
                    </a:graphicData>
                  </a:graphic>
                </wp:inline>
              </w:drawing>
            </w:r>
          </w:p>
          <w:p w:rsidR="00131F1B" w:rsidRDefault="00131F1B" w:rsidP="00553DF8">
            <w:pPr>
              <w:tabs>
                <w:tab w:val="left" w:pos="1690"/>
              </w:tabs>
              <w:spacing w:after="0" w:line="240" w:lineRule="auto"/>
              <w:rPr>
                <w:rFonts w:ascii="Arial" w:hAnsi="Arial" w:cs="Arial"/>
                <w:sz w:val="20"/>
                <w:szCs w:val="20"/>
              </w:rPr>
            </w:pPr>
          </w:p>
          <w:p w:rsidR="00131F1B" w:rsidRDefault="00131F1B" w:rsidP="00553DF8">
            <w:pPr>
              <w:tabs>
                <w:tab w:val="left" w:pos="1690"/>
              </w:tabs>
              <w:spacing w:after="0" w:line="240" w:lineRule="auto"/>
              <w:rPr>
                <w:rFonts w:ascii="Arial" w:hAnsi="Arial" w:cs="Arial"/>
                <w:sz w:val="20"/>
                <w:szCs w:val="20"/>
              </w:rPr>
            </w:pPr>
          </w:p>
          <w:p w:rsidR="00131F1B" w:rsidRDefault="00131F1B" w:rsidP="00553DF8">
            <w:pPr>
              <w:tabs>
                <w:tab w:val="left" w:pos="1690"/>
              </w:tabs>
              <w:spacing w:after="0" w:line="240" w:lineRule="auto"/>
              <w:rPr>
                <w:b/>
              </w:rPr>
            </w:pPr>
            <w:r w:rsidRPr="00096DB6">
              <w:rPr>
                <w:b/>
              </w:rPr>
              <w:t xml:space="preserve">Fig.  </w:t>
            </w:r>
            <w:r>
              <w:rPr>
                <w:b/>
              </w:rPr>
              <w:t>4</w:t>
            </w:r>
            <w:r w:rsidRPr="00096DB6">
              <w:rPr>
                <w:b/>
              </w:rPr>
              <w:t xml:space="preserve"> Acceleration and excess pore pressure ratio vs time plots at several depths for the </w:t>
            </w:r>
            <w:r>
              <w:rPr>
                <w:b/>
              </w:rPr>
              <w:t>third</w:t>
            </w:r>
            <w:r w:rsidRPr="00096DB6">
              <w:rPr>
                <w:b/>
              </w:rPr>
              <w:t xml:space="preserve"> round of tests </w:t>
            </w:r>
          </w:p>
          <w:p w:rsidR="00131F1B" w:rsidRPr="0047348C" w:rsidRDefault="00131F1B" w:rsidP="00553DF8">
            <w:pPr>
              <w:tabs>
                <w:tab w:val="left" w:pos="1690"/>
              </w:tabs>
              <w:spacing w:after="0" w:line="240" w:lineRule="auto"/>
              <w:rPr>
                <w:rFonts w:ascii="Arial" w:hAnsi="Arial" w:cs="Arial"/>
                <w:sz w:val="20"/>
                <w:szCs w:val="20"/>
              </w:rPr>
            </w:pPr>
            <w:proofErr w:type="gramStart"/>
            <w:r w:rsidRPr="00096DB6">
              <w:rPr>
                <w:b/>
              </w:rPr>
              <w:t>with</w:t>
            </w:r>
            <w:proofErr w:type="gramEnd"/>
            <w:r w:rsidRPr="00096DB6">
              <w:rPr>
                <w:b/>
              </w:rPr>
              <w:t xml:space="preserve"> </w:t>
            </w:r>
            <w:proofErr w:type="spellStart"/>
            <w:r w:rsidRPr="00096DB6">
              <w:rPr>
                <w:b/>
              </w:rPr>
              <w:t>a</w:t>
            </w:r>
            <w:r w:rsidRPr="00096DB6">
              <w:rPr>
                <w:b/>
                <w:vertAlign w:val="subscript"/>
              </w:rPr>
              <w:t>max</w:t>
            </w:r>
            <w:proofErr w:type="spellEnd"/>
            <w:r w:rsidRPr="00096DB6">
              <w:rPr>
                <w:b/>
              </w:rPr>
              <w:t>=0.</w:t>
            </w:r>
            <w:r>
              <w:rPr>
                <w:b/>
              </w:rPr>
              <w:t>20</w:t>
            </w:r>
            <w:r w:rsidRPr="00096DB6">
              <w:rPr>
                <w:b/>
              </w:rPr>
              <w:t>g</w:t>
            </w:r>
            <w:r>
              <w:rPr>
                <w:b/>
              </w:rPr>
              <w:t xml:space="preserve"> for the drains at 3-ft spacing.</w:t>
            </w:r>
          </w:p>
          <w:p w:rsidR="00ED7DD0" w:rsidRPr="00BA017A" w:rsidRDefault="00ED7DD0" w:rsidP="0047348C">
            <w:pPr>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ED7DD0" w:rsidRDefault="00ED7DD0" w:rsidP="00360664">
            <w:pPr>
              <w:spacing w:after="0" w:line="240" w:lineRule="auto"/>
              <w:rPr>
                <w:rFonts w:ascii="Arial" w:hAnsi="Arial" w:cs="Arial"/>
                <w:b/>
                <w:sz w:val="20"/>
                <w:szCs w:val="20"/>
              </w:rPr>
            </w:pPr>
          </w:p>
          <w:p w:rsidR="00ED7DD0" w:rsidRPr="00AB4B9B" w:rsidRDefault="00AB4B9B" w:rsidP="00360664">
            <w:pPr>
              <w:spacing w:after="0" w:line="240" w:lineRule="auto"/>
              <w:rPr>
                <w:rFonts w:ascii="Arial" w:hAnsi="Arial" w:cs="Arial"/>
                <w:sz w:val="20"/>
                <w:szCs w:val="20"/>
              </w:rPr>
            </w:pPr>
            <w:r w:rsidRPr="00AB4B9B">
              <w:rPr>
                <w:rFonts w:ascii="Arial" w:hAnsi="Arial" w:cs="Arial"/>
                <w:sz w:val="20"/>
                <w:szCs w:val="20"/>
              </w:rPr>
              <w:t xml:space="preserve">Some </w:t>
            </w:r>
            <w:r>
              <w:rPr>
                <w:rFonts w:ascii="Arial" w:hAnsi="Arial" w:cs="Arial"/>
                <w:sz w:val="20"/>
                <w:szCs w:val="20"/>
              </w:rPr>
              <w:t>testing tasks and associated analysis have taken longer to complete than originally planned.  However, it is anticipated that the project tasks and deliverables will be completed within the original contract period.</w:t>
            </w:r>
          </w:p>
          <w:p w:rsidR="000C209F" w:rsidRPr="00BA017A" w:rsidRDefault="000C209F" w:rsidP="00D43E5A">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EE" w:rsidRDefault="006A00EE" w:rsidP="00106C83">
      <w:pPr>
        <w:spacing w:after="0" w:line="240" w:lineRule="auto"/>
      </w:pPr>
      <w:r>
        <w:separator/>
      </w:r>
    </w:p>
  </w:endnote>
  <w:endnote w:type="continuationSeparator" w:id="0">
    <w:p w:rsidR="006A00EE" w:rsidRDefault="006A00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5F" w:rsidRDefault="00734A5F" w:rsidP="00E371D1">
    <w:pPr>
      <w:pStyle w:val="Footer"/>
      <w:ind w:left="-810"/>
    </w:pPr>
    <w:r>
      <w:t>TPF Program Standard Quarterly Reporting Format – 7/2011</w:t>
    </w:r>
  </w:p>
  <w:p w:rsidR="00734A5F" w:rsidRDefault="00734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EE" w:rsidRDefault="006A00EE" w:rsidP="00106C83">
      <w:pPr>
        <w:spacing w:after="0" w:line="240" w:lineRule="auto"/>
      </w:pPr>
      <w:r>
        <w:separator/>
      </w:r>
    </w:p>
  </w:footnote>
  <w:footnote w:type="continuationSeparator" w:id="0">
    <w:p w:rsidR="006A00EE" w:rsidRDefault="006A00EE"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20065"/>
    <w:rsid w:val="00033E93"/>
    <w:rsid w:val="00034653"/>
    <w:rsid w:val="00036117"/>
    <w:rsid w:val="00037FBC"/>
    <w:rsid w:val="00046DCA"/>
    <w:rsid w:val="00060908"/>
    <w:rsid w:val="00065E9D"/>
    <w:rsid w:val="00066F64"/>
    <w:rsid w:val="000672D5"/>
    <w:rsid w:val="000736BB"/>
    <w:rsid w:val="000759D5"/>
    <w:rsid w:val="00087DC0"/>
    <w:rsid w:val="000A0D23"/>
    <w:rsid w:val="000A20F3"/>
    <w:rsid w:val="000A51D5"/>
    <w:rsid w:val="000A7C22"/>
    <w:rsid w:val="000B665A"/>
    <w:rsid w:val="000C209F"/>
    <w:rsid w:val="000E112D"/>
    <w:rsid w:val="000E25C9"/>
    <w:rsid w:val="000F752B"/>
    <w:rsid w:val="001046A4"/>
    <w:rsid w:val="00106C83"/>
    <w:rsid w:val="00112ABF"/>
    <w:rsid w:val="001143F6"/>
    <w:rsid w:val="00114731"/>
    <w:rsid w:val="001147C8"/>
    <w:rsid w:val="00115C8F"/>
    <w:rsid w:val="00122301"/>
    <w:rsid w:val="00122DE0"/>
    <w:rsid w:val="001268B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7062"/>
    <w:rsid w:val="001A2E6F"/>
    <w:rsid w:val="001A3C7B"/>
    <w:rsid w:val="001B57A7"/>
    <w:rsid w:val="001C0A2C"/>
    <w:rsid w:val="001C1E3F"/>
    <w:rsid w:val="001C6EB8"/>
    <w:rsid w:val="001C6EFD"/>
    <w:rsid w:val="001D012C"/>
    <w:rsid w:val="001D2FB4"/>
    <w:rsid w:val="001D7CC0"/>
    <w:rsid w:val="001E3627"/>
    <w:rsid w:val="001E7DD3"/>
    <w:rsid w:val="001F1101"/>
    <w:rsid w:val="001F516D"/>
    <w:rsid w:val="002066D7"/>
    <w:rsid w:val="002072E0"/>
    <w:rsid w:val="00207C77"/>
    <w:rsid w:val="00210D6B"/>
    <w:rsid w:val="0021353C"/>
    <w:rsid w:val="0021446D"/>
    <w:rsid w:val="00215208"/>
    <w:rsid w:val="0022469B"/>
    <w:rsid w:val="002442E9"/>
    <w:rsid w:val="00245D5B"/>
    <w:rsid w:val="00254713"/>
    <w:rsid w:val="00266EF9"/>
    <w:rsid w:val="0027143D"/>
    <w:rsid w:val="002718CD"/>
    <w:rsid w:val="00291F1C"/>
    <w:rsid w:val="00293325"/>
    <w:rsid w:val="00293FD8"/>
    <w:rsid w:val="00294DE6"/>
    <w:rsid w:val="002953FD"/>
    <w:rsid w:val="00296B7E"/>
    <w:rsid w:val="00297670"/>
    <w:rsid w:val="002A378C"/>
    <w:rsid w:val="002A79C8"/>
    <w:rsid w:val="002B12AD"/>
    <w:rsid w:val="002B7515"/>
    <w:rsid w:val="002C4321"/>
    <w:rsid w:val="002D353E"/>
    <w:rsid w:val="00303BFD"/>
    <w:rsid w:val="00312592"/>
    <w:rsid w:val="0031390E"/>
    <w:rsid w:val="00315979"/>
    <w:rsid w:val="00317414"/>
    <w:rsid w:val="00320052"/>
    <w:rsid w:val="003372CD"/>
    <w:rsid w:val="0034356F"/>
    <w:rsid w:val="003463C6"/>
    <w:rsid w:val="00351F63"/>
    <w:rsid w:val="00360664"/>
    <w:rsid w:val="0036110A"/>
    <w:rsid w:val="00362F45"/>
    <w:rsid w:val="00363B3B"/>
    <w:rsid w:val="00364853"/>
    <w:rsid w:val="003801B7"/>
    <w:rsid w:val="00382110"/>
    <w:rsid w:val="0038529F"/>
    <w:rsid w:val="00386FBE"/>
    <w:rsid w:val="0038705A"/>
    <w:rsid w:val="00387494"/>
    <w:rsid w:val="003A0D13"/>
    <w:rsid w:val="003A6804"/>
    <w:rsid w:val="003A720F"/>
    <w:rsid w:val="003B06B3"/>
    <w:rsid w:val="003B6134"/>
    <w:rsid w:val="003B6363"/>
    <w:rsid w:val="003B79D4"/>
    <w:rsid w:val="003E0A8C"/>
    <w:rsid w:val="003E4104"/>
    <w:rsid w:val="004034A7"/>
    <w:rsid w:val="00403587"/>
    <w:rsid w:val="00407062"/>
    <w:rsid w:val="004144E6"/>
    <w:rsid w:val="004156B2"/>
    <w:rsid w:val="00420ACA"/>
    <w:rsid w:val="00433B9B"/>
    <w:rsid w:val="00434429"/>
    <w:rsid w:val="0043487E"/>
    <w:rsid w:val="00437734"/>
    <w:rsid w:val="00440147"/>
    <w:rsid w:val="004451CB"/>
    <w:rsid w:val="00447A40"/>
    <w:rsid w:val="0045218A"/>
    <w:rsid w:val="00452BD9"/>
    <w:rsid w:val="004579C4"/>
    <w:rsid w:val="00465C49"/>
    <w:rsid w:val="0047348C"/>
    <w:rsid w:val="004738F7"/>
    <w:rsid w:val="00474477"/>
    <w:rsid w:val="00483930"/>
    <w:rsid w:val="00484AAB"/>
    <w:rsid w:val="00487C28"/>
    <w:rsid w:val="004913CE"/>
    <w:rsid w:val="00492E2B"/>
    <w:rsid w:val="00496024"/>
    <w:rsid w:val="004963B0"/>
    <w:rsid w:val="004A0AD5"/>
    <w:rsid w:val="004B3555"/>
    <w:rsid w:val="004C447F"/>
    <w:rsid w:val="004C4487"/>
    <w:rsid w:val="004C7444"/>
    <w:rsid w:val="004D5EEE"/>
    <w:rsid w:val="004D6151"/>
    <w:rsid w:val="004D6DF5"/>
    <w:rsid w:val="004D778C"/>
    <w:rsid w:val="004E04B8"/>
    <w:rsid w:val="004E14DC"/>
    <w:rsid w:val="004E46AD"/>
    <w:rsid w:val="004E4A6C"/>
    <w:rsid w:val="005030A0"/>
    <w:rsid w:val="0051500B"/>
    <w:rsid w:val="00535598"/>
    <w:rsid w:val="00535AE5"/>
    <w:rsid w:val="0053701E"/>
    <w:rsid w:val="005373F0"/>
    <w:rsid w:val="00547EE3"/>
    <w:rsid w:val="0055178A"/>
    <w:rsid w:val="00551855"/>
    <w:rsid w:val="00551D8A"/>
    <w:rsid w:val="00553DF8"/>
    <w:rsid w:val="00574EA0"/>
    <w:rsid w:val="00581B36"/>
    <w:rsid w:val="00582FD5"/>
    <w:rsid w:val="00583E8E"/>
    <w:rsid w:val="005841C9"/>
    <w:rsid w:val="0059223A"/>
    <w:rsid w:val="0059636D"/>
    <w:rsid w:val="005B2685"/>
    <w:rsid w:val="005B2E45"/>
    <w:rsid w:val="005B4511"/>
    <w:rsid w:val="005B6D52"/>
    <w:rsid w:val="005C75FE"/>
    <w:rsid w:val="005D3419"/>
    <w:rsid w:val="005D3BEE"/>
    <w:rsid w:val="005D6BE9"/>
    <w:rsid w:val="005E2613"/>
    <w:rsid w:val="005F1AE2"/>
    <w:rsid w:val="005F7721"/>
    <w:rsid w:val="005F7C14"/>
    <w:rsid w:val="00601EBD"/>
    <w:rsid w:val="00602A2F"/>
    <w:rsid w:val="00603845"/>
    <w:rsid w:val="006228E5"/>
    <w:rsid w:val="00630F0C"/>
    <w:rsid w:val="0063129B"/>
    <w:rsid w:val="00642B51"/>
    <w:rsid w:val="00647D8B"/>
    <w:rsid w:val="00655F26"/>
    <w:rsid w:val="0065752D"/>
    <w:rsid w:val="00665E69"/>
    <w:rsid w:val="00667348"/>
    <w:rsid w:val="00672286"/>
    <w:rsid w:val="00682C5E"/>
    <w:rsid w:val="006847D8"/>
    <w:rsid w:val="006A00EE"/>
    <w:rsid w:val="006A3335"/>
    <w:rsid w:val="006A73D7"/>
    <w:rsid w:val="006A7AC1"/>
    <w:rsid w:val="006B1162"/>
    <w:rsid w:val="006B4A39"/>
    <w:rsid w:val="006B78F2"/>
    <w:rsid w:val="006B7F63"/>
    <w:rsid w:val="006C08D2"/>
    <w:rsid w:val="006C1783"/>
    <w:rsid w:val="006C378D"/>
    <w:rsid w:val="006C50DB"/>
    <w:rsid w:val="006C6D36"/>
    <w:rsid w:val="006D4192"/>
    <w:rsid w:val="006E49AA"/>
    <w:rsid w:val="007132D7"/>
    <w:rsid w:val="0071739F"/>
    <w:rsid w:val="00725C78"/>
    <w:rsid w:val="00730F8E"/>
    <w:rsid w:val="00731D90"/>
    <w:rsid w:val="00734A5F"/>
    <w:rsid w:val="00743C01"/>
    <w:rsid w:val="007456DB"/>
    <w:rsid w:val="00750759"/>
    <w:rsid w:val="00751684"/>
    <w:rsid w:val="007577D6"/>
    <w:rsid w:val="007623F6"/>
    <w:rsid w:val="00763DDA"/>
    <w:rsid w:val="0076457E"/>
    <w:rsid w:val="00772EB3"/>
    <w:rsid w:val="00773335"/>
    <w:rsid w:val="00775D1D"/>
    <w:rsid w:val="007828E8"/>
    <w:rsid w:val="0078708E"/>
    <w:rsid w:val="00790C4A"/>
    <w:rsid w:val="007A4135"/>
    <w:rsid w:val="007C480F"/>
    <w:rsid w:val="007D18E0"/>
    <w:rsid w:val="007D2E2B"/>
    <w:rsid w:val="007D4A84"/>
    <w:rsid w:val="007E4EA6"/>
    <w:rsid w:val="007E5BD2"/>
    <w:rsid w:val="008048C2"/>
    <w:rsid w:val="008202B0"/>
    <w:rsid w:val="00821AC5"/>
    <w:rsid w:val="00823934"/>
    <w:rsid w:val="0083449F"/>
    <w:rsid w:val="0084364F"/>
    <w:rsid w:val="00847198"/>
    <w:rsid w:val="00855EDD"/>
    <w:rsid w:val="00860193"/>
    <w:rsid w:val="00862B49"/>
    <w:rsid w:val="00866277"/>
    <w:rsid w:val="00870EEE"/>
    <w:rsid w:val="00872F18"/>
    <w:rsid w:val="00874EF7"/>
    <w:rsid w:val="00883F30"/>
    <w:rsid w:val="008B7E74"/>
    <w:rsid w:val="008C59B4"/>
    <w:rsid w:val="008E0978"/>
    <w:rsid w:val="008E75C5"/>
    <w:rsid w:val="008F34E8"/>
    <w:rsid w:val="008F4B61"/>
    <w:rsid w:val="008F5A12"/>
    <w:rsid w:val="008F5BC4"/>
    <w:rsid w:val="008F7A9A"/>
    <w:rsid w:val="00901072"/>
    <w:rsid w:val="009106C5"/>
    <w:rsid w:val="0091268B"/>
    <w:rsid w:val="00920D93"/>
    <w:rsid w:val="00936D01"/>
    <w:rsid w:val="009521C8"/>
    <w:rsid w:val="0095485E"/>
    <w:rsid w:val="00954EBF"/>
    <w:rsid w:val="0095508B"/>
    <w:rsid w:val="009557D4"/>
    <w:rsid w:val="0097676B"/>
    <w:rsid w:val="0098388E"/>
    <w:rsid w:val="009934E8"/>
    <w:rsid w:val="00994752"/>
    <w:rsid w:val="009A5C18"/>
    <w:rsid w:val="009B1A1B"/>
    <w:rsid w:val="009B229B"/>
    <w:rsid w:val="009B699B"/>
    <w:rsid w:val="009C3C41"/>
    <w:rsid w:val="009C6BF4"/>
    <w:rsid w:val="009F2C97"/>
    <w:rsid w:val="009F5CE7"/>
    <w:rsid w:val="00A06383"/>
    <w:rsid w:val="00A16D08"/>
    <w:rsid w:val="00A31725"/>
    <w:rsid w:val="00A43875"/>
    <w:rsid w:val="00A4783E"/>
    <w:rsid w:val="00A52589"/>
    <w:rsid w:val="00A52E0D"/>
    <w:rsid w:val="00A63086"/>
    <w:rsid w:val="00A63677"/>
    <w:rsid w:val="00A707E3"/>
    <w:rsid w:val="00A74CE1"/>
    <w:rsid w:val="00A852A7"/>
    <w:rsid w:val="00A937D9"/>
    <w:rsid w:val="00A95DA3"/>
    <w:rsid w:val="00A95FA8"/>
    <w:rsid w:val="00A97723"/>
    <w:rsid w:val="00AA4194"/>
    <w:rsid w:val="00AB0016"/>
    <w:rsid w:val="00AB1873"/>
    <w:rsid w:val="00AB3C32"/>
    <w:rsid w:val="00AB4B9B"/>
    <w:rsid w:val="00AC7DA7"/>
    <w:rsid w:val="00AD53DD"/>
    <w:rsid w:val="00AE04D3"/>
    <w:rsid w:val="00AE40EB"/>
    <w:rsid w:val="00AE46B0"/>
    <w:rsid w:val="00AF6033"/>
    <w:rsid w:val="00B2185C"/>
    <w:rsid w:val="00B236DD"/>
    <w:rsid w:val="00B24C30"/>
    <w:rsid w:val="00B27158"/>
    <w:rsid w:val="00B30F4C"/>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A017A"/>
    <w:rsid w:val="00BA3C12"/>
    <w:rsid w:val="00BA52E9"/>
    <w:rsid w:val="00BA7096"/>
    <w:rsid w:val="00BD1068"/>
    <w:rsid w:val="00BD26AD"/>
    <w:rsid w:val="00BE098B"/>
    <w:rsid w:val="00C006F1"/>
    <w:rsid w:val="00C13753"/>
    <w:rsid w:val="00C16C9B"/>
    <w:rsid w:val="00C227ED"/>
    <w:rsid w:val="00C31365"/>
    <w:rsid w:val="00C345EE"/>
    <w:rsid w:val="00C36682"/>
    <w:rsid w:val="00C3722F"/>
    <w:rsid w:val="00C42324"/>
    <w:rsid w:val="00C475FE"/>
    <w:rsid w:val="00C478EA"/>
    <w:rsid w:val="00C51E33"/>
    <w:rsid w:val="00C6237D"/>
    <w:rsid w:val="00C6642A"/>
    <w:rsid w:val="00C7412A"/>
    <w:rsid w:val="00C7699B"/>
    <w:rsid w:val="00C8267C"/>
    <w:rsid w:val="00C83343"/>
    <w:rsid w:val="00C8445D"/>
    <w:rsid w:val="00C87783"/>
    <w:rsid w:val="00C91B9C"/>
    <w:rsid w:val="00C92800"/>
    <w:rsid w:val="00CA5876"/>
    <w:rsid w:val="00CB67EA"/>
    <w:rsid w:val="00CC49A4"/>
    <w:rsid w:val="00CD5F86"/>
    <w:rsid w:val="00CE0AB9"/>
    <w:rsid w:val="00CE27F9"/>
    <w:rsid w:val="00CE2EA8"/>
    <w:rsid w:val="00CF1C3A"/>
    <w:rsid w:val="00D056BA"/>
    <w:rsid w:val="00D06294"/>
    <w:rsid w:val="00D119D4"/>
    <w:rsid w:val="00D11CFE"/>
    <w:rsid w:val="00D25918"/>
    <w:rsid w:val="00D43E5A"/>
    <w:rsid w:val="00D551AA"/>
    <w:rsid w:val="00D5646C"/>
    <w:rsid w:val="00D739F1"/>
    <w:rsid w:val="00D74CFF"/>
    <w:rsid w:val="00D76A8C"/>
    <w:rsid w:val="00D842DF"/>
    <w:rsid w:val="00D92CCD"/>
    <w:rsid w:val="00D962F2"/>
    <w:rsid w:val="00D96331"/>
    <w:rsid w:val="00DA1949"/>
    <w:rsid w:val="00DA3CC5"/>
    <w:rsid w:val="00DA4AE9"/>
    <w:rsid w:val="00DA5618"/>
    <w:rsid w:val="00DC08E0"/>
    <w:rsid w:val="00DC370E"/>
    <w:rsid w:val="00DC4D9A"/>
    <w:rsid w:val="00DC6DFD"/>
    <w:rsid w:val="00DD37B2"/>
    <w:rsid w:val="00DE1EB7"/>
    <w:rsid w:val="00DE2E58"/>
    <w:rsid w:val="00DE3DFB"/>
    <w:rsid w:val="00DF0297"/>
    <w:rsid w:val="00DF2025"/>
    <w:rsid w:val="00DF4405"/>
    <w:rsid w:val="00E14EE9"/>
    <w:rsid w:val="00E2307B"/>
    <w:rsid w:val="00E3578E"/>
    <w:rsid w:val="00E35E0F"/>
    <w:rsid w:val="00E36F6B"/>
    <w:rsid w:val="00E371D1"/>
    <w:rsid w:val="00E53738"/>
    <w:rsid w:val="00E556EF"/>
    <w:rsid w:val="00E7286B"/>
    <w:rsid w:val="00E76192"/>
    <w:rsid w:val="00E80682"/>
    <w:rsid w:val="00E832C0"/>
    <w:rsid w:val="00E92CC3"/>
    <w:rsid w:val="00E949CB"/>
    <w:rsid w:val="00E95B33"/>
    <w:rsid w:val="00E97EDF"/>
    <w:rsid w:val="00EA6697"/>
    <w:rsid w:val="00EA736A"/>
    <w:rsid w:val="00EB1C35"/>
    <w:rsid w:val="00EB3A0C"/>
    <w:rsid w:val="00EC3DBE"/>
    <w:rsid w:val="00ED0F12"/>
    <w:rsid w:val="00ED2901"/>
    <w:rsid w:val="00ED5F67"/>
    <w:rsid w:val="00ED7DD0"/>
    <w:rsid w:val="00EE10A6"/>
    <w:rsid w:val="00EE1FED"/>
    <w:rsid w:val="00EF0113"/>
    <w:rsid w:val="00EF08AE"/>
    <w:rsid w:val="00EF15DD"/>
    <w:rsid w:val="00EF2975"/>
    <w:rsid w:val="00EF3BA2"/>
    <w:rsid w:val="00EF5790"/>
    <w:rsid w:val="00EF5D3F"/>
    <w:rsid w:val="00F01DE6"/>
    <w:rsid w:val="00F0602A"/>
    <w:rsid w:val="00F06F3C"/>
    <w:rsid w:val="00F15F19"/>
    <w:rsid w:val="00F24695"/>
    <w:rsid w:val="00F40A56"/>
    <w:rsid w:val="00F4311F"/>
    <w:rsid w:val="00F52189"/>
    <w:rsid w:val="00F7183A"/>
    <w:rsid w:val="00F82CC4"/>
    <w:rsid w:val="00F83DAA"/>
    <w:rsid w:val="00F86010"/>
    <w:rsid w:val="00F9345D"/>
    <w:rsid w:val="00F95B85"/>
    <w:rsid w:val="00FB4F80"/>
    <w:rsid w:val="00FC2B72"/>
    <w:rsid w:val="00FD0033"/>
    <w:rsid w:val="00FD0488"/>
    <w:rsid w:val="00FD3F3F"/>
    <w:rsid w:val="00FD6DCB"/>
    <w:rsid w:val="00FD73AD"/>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8D57B-48A9-4676-A3AD-BF041563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1767</Words>
  <Characters>9789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69</cp:revision>
  <cp:lastPrinted>2011-06-21T20:32:00Z</cp:lastPrinted>
  <dcterms:created xsi:type="dcterms:W3CDTF">2015-04-30T03:58:00Z</dcterms:created>
  <dcterms:modified xsi:type="dcterms:W3CDTF">2015-04-30T17:14:00Z</dcterms:modified>
</cp:coreProperties>
</file>