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A605DC">
        <w:rPr>
          <w:rFonts w:ascii="Arial" w:hAnsi="Arial" w:cs="Arial"/>
          <w:sz w:val="24"/>
          <w:szCs w:val="24"/>
        </w:rPr>
        <w:t>April 2, 2015</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w:t>
            </w:r>
            <w:r w:rsidR="008341F4">
              <w:rPr>
                <w:rFonts w:ascii="Arial" w:hAnsi="Arial" w:cs="Arial"/>
                <w:i/>
                <w:sz w:val="20"/>
                <w:szCs w:val="20"/>
              </w:rPr>
              <w:t>98</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C93F4C" w:rsidRDefault="00551D8A" w:rsidP="00C47119">
            <w:pPr>
              <w:pStyle w:val="ListParagraph"/>
              <w:tabs>
                <w:tab w:val="left" w:pos="252"/>
              </w:tabs>
              <w:ind w:left="-18" w:right="-720"/>
              <w:rPr>
                <w:rFonts w:ascii="Arial" w:hAnsi="Arial" w:cs="Arial"/>
                <w:sz w:val="20"/>
                <w:szCs w:val="20"/>
              </w:rPr>
            </w:pPr>
            <w:r w:rsidRPr="00A605DC">
              <w:rPr>
                <w:rFonts w:ascii="Arial" w:hAnsi="Arial" w:cs="Arial"/>
                <w:sz w:val="20"/>
                <w:szCs w:val="20"/>
                <w:highlight w:val="yellow"/>
              </w:rPr>
              <w:t>Quarter 1 (January 1 – March 31)</w:t>
            </w:r>
          </w:p>
          <w:p w:rsidR="00C47119" w:rsidRDefault="00C47119" w:rsidP="00037FBC">
            <w:pPr>
              <w:ind w:right="-720"/>
              <w:rPr>
                <w:rFonts w:ascii="Arial" w:hAnsi="Arial" w:cs="Arial"/>
                <w:sz w:val="20"/>
                <w:szCs w:val="20"/>
              </w:rPr>
            </w:pPr>
          </w:p>
          <w:p w:rsidR="00551D8A" w:rsidRPr="00EF2F14" w:rsidRDefault="00551D8A" w:rsidP="00EF2F14">
            <w:pPr>
              <w:ind w:right="-720"/>
              <w:rPr>
                <w:rFonts w:ascii="Arial" w:hAnsi="Arial" w:cs="Arial"/>
                <w:sz w:val="20"/>
                <w:szCs w:val="20"/>
              </w:rPr>
            </w:pPr>
            <w:r w:rsidRPr="005F168B">
              <w:rPr>
                <w:rFonts w:ascii="Arial" w:hAnsi="Arial" w:cs="Arial"/>
                <w:sz w:val="20"/>
                <w:szCs w:val="20"/>
              </w:rPr>
              <w:t>Quarter 2 (April 1 – June 30)</w:t>
            </w:r>
          </w:p>
          <w:p w:rsidR="00C47119" w:rsidRDefault="00C47119" w:rsidP="00037FBC">
            <w:pPr>
              <w:ind w:right="-720"/>
              <w:rPr>
                <w:rFonts w:ascii="Arial" w:hAnsi="Arial" w:cs="Arial"/>
                <w:sz w:val="20"/>
                <w:szCs w:val="20"/>
              </w:rPr>
            </w:pPr>
          </w:p>
          <w:p w:rsidR="00551D8A" w:rsidRPr="00B7746B" w:rsidRDefault="00551D8A" w:rsidP="00B7746B">
            <w:pPr>
              <w:ind w:right="-720"/>
              <w:rPr>
                <w:rFonts w:ascii="Arial" w:hAnsi="Arial" w:cs="Arial"/>
                <w:sz w:val="20"/>
                <w:szCs w:val="20"/>
              </w:rPr>
            </w:pPr>
            <w:r w:rsidRPr="00A605DC">
              <w:rPr>
                <w:rFonts w:ascii="Arial" w:hAnsi="Arial" w:cs="Arial"/>
                <w:sz w:val="20"/>
                <w:szCs w:val="20"/>
              </w:rPr>
              <w:t>Quarter 3 (July 1 – September 30)</w:t>
            </w:r>
          </w:p>
          <w:p w:rsidR="00C47119" w:rsidRDefault="00C47119" w:rsidP="00C93F4C">
            <w:pPr>
              <w:pStyle w:val="ListParagraph"/>
              <w:tabs>
                <w:tab w:val="left" w:pos="252"/>
              </w:tabs>
              <w:ind w:left="0" w:right="-720"/>
              <w:rPr>
                <w:rFonts w:ascii="Arial" w:hAnsi="Arial" w:cs="Arial"/>
                <w:sz w:val="20"/>
                <w:szCs w:val="20"/>
              </w:rPr>
            </w:pPr>
          </w:p>
          <w:p w:rsidR="00551D8A" w:rsidRPr="00454CF6" w:rsidRDefault="00581B36" w:rsidP="00C93F4C">
            <w:pPr>
              <w:pStyle w:val="ListParagraph"/>
              <w:tabs>
                <w:tab w:val="left" w:pos="252"/>
              </w:tabs>
              <w:ind w:left="0" w:right="-720"/>
              <w:rPr>
                <w:rFonts w:ascii="Arial" w:hAnsi="Arial" w:cs="Arial"/>
                <w:sz w:val="20"/>
                <w:szCs w:val="20"/>
              </w:rPr>
            </w:pPr>
            <w:r w:rsidRPr="0077052E">
              <w:rPr>
                <w:rFonts w:ascii="Arial" w:hAnsi="Arial" w:cs="Arial"/>
                <w:sz w:val="20"/>
                <w:szCs w:val="20"/>
              </w:rPr>
              <w:t>Quarter 4 (October 1</w:t>
            </w:r>
            <w:r w:rsidR="00551D8A" w:rsidRPr="0077052E">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8341F4" w:rsidP="00551D8A">
            <w:pPr>
              <w:ind w:right="-720"/>
              <w:rPr>
                <w:rFonts w:ascii="Arial" w:hAnsi="Arial" w:cs="Arial"/>
                <w:b/>
                <w:sz w:val="20"/>
                <w:szCs w:val="20"/>
              </w:rPr>
            </w:pPr>
            <w:r>
              <w:rPr>
                <w:rFonts w:ascii="Arial" w:hAnsi="Arial" w:cs="Arial"/>
                <w:b/>
                <w:sz w:val="20"/>
                <w:szCs w:val="20"/>
              </w:rPr>
              <w:t>Pavement Reconstruction Scheduling Software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Default="008341F4" w:rsidP="0003476C">
            <w:pPr>
              <w:ind w:right="-720"/>
              <w:rPr>
                <w:rFonts w:ascii="Arial" w:hAnsi="Arial" w:cs="Arial"/>
                <w:b/>
                <w:sz w:val="20"/>
                <w:szCs w:val="20"/>
              </w:rPr>
            </w:pPr>
            <w:r>
              <w:rPr>
                <w:rFonts w:ascii="Arial" w:hAnsi="Arial" w:cs="Arial"/>
                <w:b/>
                <w:sz w:val="20"/>
                <w:szCs w:val="20"/>
              </w:rPr>
              <w:t>GCA2103-03</w:t>
            </w:r>
          </w:p>
          <w:p w:rsidR="008341F4" w:rsidRPr="00C13753" w:rsidRDefault="008341F4" w:rsidP="0003476C">
            <w:pPr>
              <w:ind w:right="-720"/>
              <w:rPr>
                <w:rFonts w:ascii="Arial" w:hAnsi="Arial" w:cs="Arial"/>
                <w:b/>
                <w:sz w:val="20"/>
                <w:szCs w:val="20"/>
              </w:rPr>
            </w:pPr>
            <w:r>
              <w:rPr>
                <w:rFonts w:ascii="Arial" w:hAnsi="Arial" w:cs="Arial"/>
                <w:b/>
                <w:sz w:val="20"/>
                <w:szCs w:val="20"/>
              </w:rPr>
              <w:t>DP01232</w:t>
            </w:r>
            <w:r w:rsidR="00164685">
              <w:rPr>
                <w:rFonts w:ascii="Arial" w:hAnsi="Arial" w:cs="Arial"/>
                <w:b/>
                <w:sz w:val="20"/>
                <w:szCs w:val="20"/>
              </w:rPr>
              <w:t>, Y9381</w:t>
            </w:r>
            <w:r w:rsidR="00A605DC">
              <w:rPr>
                <w:rFonts w:ascii="Arial" w:hAnsi="Arial" w:cs="Arial"/>
                <w:b/>
                <w:sz w:val="20"/>
                <w:szCs w:val="20"/>
              </w:rPr>
              <w:t>, K759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47631" w:rsidP="0003476C">
            <w:pPr>
              <w:ind w:right="-720"/>
              <w:rPr>
                <w:rFonts w:ascii="Arial" w:hAnsi="Arial" w:cs="Arial"/>
                <w:b/>
                <w:sz w:val="20"/>
                <w:szCs w:val="20"/>
              </w:rPr>
            </w:pPr>
            <w:r>
              <w:rPr>
                <w:rFonts w:ascii="Arial" w:hAnsi="Arial" w:cs="Arial"/>
                <w:b/>
                <w:sz w:val="20"/>
                <w:szCs w:val="20"/>
              </w:rPr>
              <w:t>12/31/2015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008341F4" w:rsidRPr="00B66A21">
        <w:rPr>
          <w:rFonts w:ascii="Arial" w:hAnsi="Arial" w:cs="Arial"/>
          <w:sz w:val="36"/>
          <w:szCs w:val="36"/>
        </w:rPr>
        <w:t>□</w:t>
      </w:r>
      <w:r w:rsidRPr="00B66A21">
        <w:rPr>
          <w:rFonts w:ascii="Arial" w:hAnsi="Arial" w:cs="Arial"/>
          <w:sz w:val="20"/>
          <w:szCs w:val="20"/>
        </w:rPr>
        <w:t>On schedule</w:t>
      </w:r>
      <w:r w:rsidRPr="00B66A21">
        <w:rPr>
          <w:rFonts w:ascii="Arial" w:hAnsi="Arial" w:cs="Arial"/>
          <w:sz w:val="20"/>
          <w:szCs w:val="20"/>
        </w:rPr>
        <w:tab/>
      </w:r>
      <w:r w:rsidR="00FF6FBB">
        <w:rPr>
          <w:rFonts w:ascii="Arial" w:hAnsi="Arial" w:cs="Arial"/>
          <w:sz w:val="20"/>
          <w:szCs w:val="20"/>
        </w:rPr>
        <w:t xml:space="preserve">  </w:t>
      </w:r>
      <w:r w:rsidR="00164685" w:rsidRPr="00B66A21">
        <w:rPr>
          <w:rFonts w:ascii="Arial" w:hAnsi="Arial" w:cs="Arial"/>
          <w:sz w:val="36"/>
          <w:szCs w:val="36"/>
        </w:rPr>
        <w:t>□</w:t>
      </w:r>
      <w:r w:rsidR="00FF6FBB">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164685">
        <w:rPr>
          <w:rFonts w:ascii="Arial" w:hAnsi="Arial" w:cs="Arial"/>
          <w:sz w:val="20"/>
          <w:szCs w:val="20"/>
        </w:rPr>
        <w:t>X</w:t>
      </w:r>
      <w:r w:rsidR="00FF6FBB">
        <w:rPr>
          <w:rFonts w:ascii="Arial" w:hAnsi="Arial" w:cs="Arial"/>
          <w:sz w:val="20"/>
          <w:szCs w:val="20"/>
        </w:rPr>
        <w:t xml:space="preserve"> </w:t>
      </w:r>
      <w:r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47631">
            <w:pPr>
              <w:ind w:right="-720"/>
              <w:rPr>
                <w:rFonts w:ascii="Arial" w:hAnsi="Arial" w:cs="Arial"/>
                <w:sz w:val="20"/>
                <w:szCs w:val="20"/>
              </w:rPr>
            </w:pPr>
            <w:r>
              <w:rPr>
                <w:rFonts w:ascii="Arial" w:hAnsi="Arial" w:cs="Arial"/>
                <w:sz w:val="20"/>
                <w:szCs w:val="20"/>
              </w:rPr>
              <w:t>$</w:t>
            </w:r>
            <w:r w:rsidR="00C47631">
              <w:rPr>
                <w:rFonts w:ascii="Arial" w:hAnsi="Arial" w:cs="Arial"/>
                <w:sz w:val="20"/>
                <w:szCs w:val="20"/>
              </w:rPr>
              <w:t>2,021,393.97</w:t>
            </w:r>
          </w:p>
        </w:tc>
        <w:tc>
          <w:tcPr>
            <w:tcW w:w="3330" w:type="dxa"/>
          </w:tcPr>
          <w:p w:rsidR="00F30254" w:rsidRPr="00B66A21" w:rsidRDefault="00F30254" w:rsidP="0077052E">
            <w:pPr>
              <w:ind w:right="-720"/>
              <w:rPr>
                <w:rFonts w:ascii="Arial" w:hAnsi="Arial" w:cs="Arial"/>
                <w:sz w:val="20"/>
                <w:szCs w:val="20"/>
              </w:rPr>
            </w:pPr>
            <w:r>
              <w:rPr>
                <w:rFonts w:ascii="Arial" w:hAnsi="Arial" w:cs="Arial"/>
                <w:sz w:val="20"/>
                <w:szCs w:val="20"/>
              </w:rPr>
              <w:t>$</w:t>
            </w:r>
            <w:r w:rsidR="008341F4">
              <w:rPr>
                <w:rFonts w:ascii="Arial" w:hAnsi="Arial" w:cs="Arial"/>
                <w:sz w:val="20"/>
                <w:szCs w:val="20"/>
              </w:rPr>
              <w:t>1,</w:t>
            </w:r>
            <w:r w:rsidR="00C47631">
              <w:rPr>
                <w:rFonts w:ascii="Arial" w:hAnsi="Arial" w:cs="Arial"/>
                <w:sz w:val="20"/>
                <w:szCs w:val="20"/>
              </w:rPr>
              <w:t>5</w:t>
            </w:r>
            <w:r w:rsidR="0077052E">
              <w:rPr>
                <w:rFonts w:ascii="Arial" w:hAnsi="Arial" w:cs="Arial"/>
                <w:sz w:val="20"/>
                <w:szCs w:val="20"/>
              </w:rPr>
              <w:t>44</w:t>
            </w:r>
            <w:r w:rsidR="00C47119">
              <w:rPr>
                <w:rFonts w:ascii="Arial" w:hAnsi="Arial" w:cs="Arial"/>
                <w:sz w:val="20"/>
                <w:szCs w:val="20"/>
              </w:rPr>
              <w:t>,</w:t>
            </w:r>
            <w:r w:rsidR="0077052E">
              <w:rPr>
                <w:rFonts w:ascii="Arial" w:hAnsi="Arial" w:cs="Arial"/>
                <w:sz w:val="20"/>
                <w:szCs w:val="20"/>
              </w:rPr>
              <w:t>662</w:t>
            </w:r>
            <w:r w:rsidR="00C47631">
              <w:rPr>
                <w:rFonts w:ascii="Arial" w:hAnsi="Arial" w:cs="Arial"/>
                <w:sz w:val="20"/>
                <w:szCs w:val="20"/>
              </w:rPr>
              <w:t>.</w:t>
            </w:r>
            <w:r w:rsidR="0077052E">
              <w:rPr>
                <w:rFonts w:ascii="Arial" w:hAnsi="Arial" w:cs="Arial"/>
                <w:sz w:val="20"/>
                <w:szCs w:val="20"/>
              </w:rPr>
              <w:t>2</w:t>
            </w:r>
            <w:r w:rsidR="00C47631">
              <w:rPr>
                <w:rFonts w:ascii="Arial" w:hAnsi="Arial" w:cs="Arial"/>
                <w:sz w:val="20"/>
                <w:szCs w:val="20"/>
              </w:rPr>
              <w:t>6</w:t>
            </w:r>
          </w:p>
        </w:tc>
        <w:tc>
          <w:tcPr>
            <w:tcW w:w="3420" w:type="dxa"/>
          </w:tcPr>
          <w:p w:rsidR="00874EF7" w:rsidRPr="00B66A21" w:rsidRDefault="0077052E" w:rsidP="00551D8A">
            <w:pPr>
              <w:ind w:right="-720"/>
              <w:rPr>
                <w:rFonts w:ascii="Arial" w:hAnsi="Arial" w:cs="Arial"/>
                <w:sz w:val="20"/>
                <w:szCs w:val="20"/>
              </w:rPr>
            </w:pPr>
            <w:r>
              <w:rPr>
                <w:rFonts w:ascii="Arial" w:hAnsi="Arial" w:cs="Arial"/>
                <w:sz w:val="20"/>
                <w:szCs w:val="20"/>
              </w:rPr>
              <w:t>83</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341F4">
            <w:pPr>
              <w:ind w:right="-720"/>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8341F4" w:rsidP="008341F4">
            <w:pPr>
              <w:ind w:right="252"/>
              <w:rPr>
                <w:rFonts w:ascii="Arial" w:hAnsi="Arial" w:cs="Arial"/>
                <w:color w:val="333333"/>
                <w:sz w:val="20"/>
                <w:szCs w:val="20"/>
              </w:rPr>
            </w:pPr>
            <w:r w:rsidRPr="008341F4">
              <w:rPr>
                <w:rFonts w:ascii="Arial" w:hAnsi="Arial" w:cs="Arial"/>
                <w:color w:val="333333"/>
                <w:sz w:val="20"/>
                <w:szCs w:val="20"/>
              </w:rPr>
              <w:t xml:space="preserve">To develop a software simulation tool which can be used to consider pavement design options along with construction scheduling, resource constraints, traffic management, and user-delays. </w:t>
            </w:r>
          </w:p>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A605DC" w:rsidRDefault="00A605DC" w:rsidP="00F30254">
            <w:pPr>
              <w:ind w:right="252"/>
              <w:rPr>
                <w:rFonts w:ascii="Arial" w:hAnsi="Arial" w:cs="Arial"/>
                <w:sz w:val="20"/>
                <w:szCs w:val="20"/>
              </w:rPr>
            </w:pPr>
            <w:r>
              <w:rPr>
                <w:rFonts w:ascii="Arial" w:hAnsi="Arial" w:cs="Arial"/>
                <w:sz w:val="20"/>
                <w:szCs w:val="20"/>
              </w:rPr>
              <w:t>Caltrans has made the decision to upgrade the software to a web application. Pavia Systems will be performing this work as well as some training in California. The agreement should be finalized in the first week of April and the work will commence shortly thereafter. The plan is to have this work complete within a year.</w:t>
            </w:r>
          </w:p>
          <w:p w:rsidR="00A605DC" w:rsidRDefault="00A605DC" w:rsidP="00F30254">
            <w:pPr>
              <w:ind w:right="252"/>
              <w:rPr>
                <w:rFonts w:ascii="Arial" w:hAnsi="Arial" w:cs="Arial"/>
                <w:sz w:val="20"/>
                <w:szCs w:val="20"/>
              </w:rPr>
            </w:pPr>
          </w:p>
          <w:p w:rsidR="00164685" w:rsidRDefault="00A605DC" w:rsidP="00F30254">
            <w:pPr>
              <w:ind w:right="252"/>
              <w:rPr>
                <w:rFonts w:ascii="Arial" w:hAnsi="Arial" w:cs="Arial"/>
                <w:sz w:val="20"/>
                <w:szCs w:val="20"/>
              </w:rPr>
            </w:pPr>
            <w:r>
              <w:rPr>
                <w:rFonts w:ascii="Arial" w:hAnsi="Arial" w:cs="Arial"/>
                <w:sz w:val="20"/>
                <w:szCs w:val="20"/>
              </w:rPr>
              <w:t>The current version of the software is 3.0 and the online training is up to date.</w:t>
            </w:r>
          </w:p>
          <w:p w:rsidR="00D237DF" w:rsidRDefault="00D237DF" w:rsidP="00F30254">
            <w:pPr>
              <w:ind w:right="252"/>
              <w:rPr>
                <w:rFonts w:ascii="Arial" w:hAnsi="Arial" w:cs="Arial"/>
                <w:sz w:val="20"/>
                <w:szCs w:val="20"/>
              </w:rPr>
            </w:pPr>
          </w:p>
          <w:p w:rsidR="0077052E" w:rsidRDefault="00D237DF" w:rsidP="00F30254">
            <w:pPr>
              <w:ind w:right="252"/>
              <w:rPr>
                <w:rFonts w:ascii="Arial" w:hAnsi="Arial" w:cs="Arial"/>
                <w:sz w:val="20"/>
                <w:szCs w:val="20"/>
              </w:rPr>
            </w:pPr>
            <w:r>
              <w:rPr>
                <w:rFonts w:ascii="Arial" w:hAnsi="Arial" w:cs="Arial"/>
                <w:sz w:val="20"/>
                <w:szCs w:val="20"/>
              </w:rPr>
              <w:t xml:space="preserve">Caltrans </w:t>
            </w:r>
            <w:r w:rsidR="00A605DC">
              <w:rPr>
                <w:rFonts w:ascii="Arial" w:hAnsi="Arial" w:cs="Arial"/>
                <w:sz w:val="20"/>
                <w:szCs w:val="20"/>
              </w:rPr>
              <w:t>has</w:t>
            </w:r>
            <w:r>
              <w:rPr>
                <w:rFonts w:ascii="Arial" w:hAnsi="Arial" w:cs="Arial"/>
                <w:sz w:val="20"/>
                <w:szCs w:val="20"/>
              </w:rPr>
              <w:t xml:space="preserve"> the online</w:t>
            </w:r>
            <w:r w:rsidR="00E27FE0">
              <w:rPr>
                <w:rFonts w:ascii="Arial" w:hAnsi="Arial" w:cs="Arial"/>
                <w:sz w:val="20"/>
                <w:szCs w:val="20"/>
              </w:rPr>
              <w:t xml:space="preserve"> training on their website.</w:t>
            </w:r>
            <w:bookmarkStart w:id="0" w:name="_GoBack"/>
            <w:bookmarkEnd w:id="0"/>
          </w:p>
          <w:p w:rsidR="00C47119" w:rsidRDefault="00C4711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A605DC" w:rsidP="00F30254">
            <w:pPr>
              <w:ind w:right="180"/>
              <w:rPr>
                <w:rFonts w:ascii="Arial" w:hAnsi="Arial" w:cs="Arial"/>
                <w:sz w:val="20"/>
                <w:szCs w:val="20"/>
              </w:rPr>
            </w:pPr>
            <w:r>
              <w:rPr>
                <w:rFonts w:ascii="Arial" w:hAnsi="Arial" w:cs="Arial"/>
                <w:sz w:val="20"/>
                <w:szCs w:val="20"/>
              </w:rPr>
              <w:t>Begin training and work on the update of CA4PRS to a web application.</w:t>
            </w: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2F5857" w:rsidRPr="00E71359" w:rsidRDefault="00F04709" w:rsidP="00E71359">
            <w:pPr>
              <w:autoSpaceDE w:val="0"/>
              <w:autoSpaceDN w:val="0"/>
              <w:adjustRightInd w:val="0"/>
              <w:jc w:val="both"/>
              <w:rPr>
                <w:rFonts w:ascii="Arial" w:hAnsi="Arial" w:cs="Arial"/>
                <w:sz w:val="20"/>
                <w:szCs w:val="20"/>
              </w:rPr>
            </w:pPr>
            <w:r>
              <w:rPr>
                <w:rFonts w:ascii="Arial" w:hAnsi="Arial" w:cs="Arial"/>
                <w:sz w:val="20"/>
                <w:szCs w:val="20"/>
              </w:rPr>
              <w:t xml:space="preserve">CA4PRS version </w:t>
            </w:r>
            <w:r w:rsidR="00E27FE0">
              <w:rPr>
                <w:rFonts w:ascii="Arial" w:hAnsi="Arial" w:cs="Arial"/>
                <w:sz w:val="20"/>
                <w:szCs w:val="20"/>
              </w:rPr>
              <w:t>3.0</w:t>
            </w:r>
            <w:r w:rsidR="00164685">
              <w:rPr>
                <w:rFonts w:ascii="Arial" w:hAnsi="Arial" w:cs="Arial"/>
                <w:sz w:val="20"/>
                <w:szCs w:val="20"/>
              </w:rPr>
              <w:t xml:space="preserve"> of the software</w:t>
            </w:r>
            <w:r>
              <w:rPr>
                <w:rFonts w:ascii="Arial" w:hAnsi="Arial" w:cs="Arial"/>
                <w:sz w:val="20"/>
                <w:szCs w:val="20"/>
              </w:rPr>
              <w:t xml:space="preserve"> is available as well as online training.</w:t>
            </w: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F04709" w:rsidP="00F30254">
            <w:pPr>
              <w:ind w:right="180"/>
              <w:rPr>
                <w:rFonts w:ascii="Arial" w:hAnsi="Arial" w:cs="Arial"/>
                <w:sz w:val="20"/>
                <w:szCs w:val="20"/>
              </w:rPr>
            </w:pPr>
            <w:r>
              <w:rPr>
                <w:rFonts w:ascii="Arial" w:hAnsi="Arial" w:cs="Arial"/>
                <w:sz w:val="20"/>
                <w:szCs w:val="20"/>
              </w:rPr>
              <w:t>The CA4PRS software is being used in multiple states.</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36" w:rsidRDefault="00331D36" w:rsidP="00106C83">
      <w:pPr>
        <w:spacing w:after="0" w:line="240" w:lineRule="auto"/>
      </w:pPr>
      <w:r>
        <w:separator/>
      </w:r>
    </w:p>
  </w:endnote>
  <w:endnote w:type="continuationSeparator" w:id="0">
    <w:p w:rsidR="00331D36" w:rsidRDefault="00331D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36" w:rsidRDefault="00331D36" w:rsidP="00106C83">
      <w:pPr>
        <w:spacing w:after="0" w:line="240" w:lineRule="auto"/>
      </w:pPr>
      <w:r>
        <w:separator/>
      </w:r>
    </w:p>
  </w:footnote>
  <w:footnote w:type="continuationSeparator" w:id="0">
    <w:p w:rsidR="00331D36" w:rsidRDefault="00331D3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061"/>
    <w:multiLevelType w:val="hybridMultilevel"/>
    <w:tmpl w:val="266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6785F"/>
    <w:multiLevelType w:val="singleLevel"/>
    <w:tmpl w:val="73E4631E"/>
    <w:lvl w:ilvl="0">
      <w:start w:val="1"/>
      <w:numFmt w:val="decimal"/>
      <w:pStyle w:val="List1"/>
      <w:lvlText w:val="%1."/>
      <w:lvlJc w:val="left"/>
      <w:pPr>
        <w:tabs>
          <w:tab w:val="num" w:pos="360"/>
        </w:tabs>
        <w:ind w:left="360" w:hanging="360"/>
      </w:pPr>
    </w:lvl>
  </w:abstractNum>
  <w:abstractNum w:abstractNumId="3">
    <w:nsid w:val="2DFC5E44"/>
    <w:multiLevelType w:val="hybridMultilevel"/>
    <w:tmpl w:val="9A38DD38"/>
    <w:lvl w:ilvl="0" w:tplc="35B6190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62BF9"/>
    <w:multiLevelType w:val="hybridMultilevel"/>
    <w:tmpl w:val="76AA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4F08"/>
    <w:rsid w:val="00037FBC"/>
    <w:rsid w:val="00070BBD"/>
    <w:rsid w:val="000736BB"/>
    <w:rsid w:val="000B665A"/>
    <w:rsid w:val="000E62BB"/>
    <w:rsid w:val="00106C83"/>
    <w:rsid w:val="00130DA9"/>
    <w:rsid w:val="001547D0"/>
    <w:rsid w:val="001571E2"/>
    <w:rsid w:val="00161153"/>
    <w:rsid w:val="00164685"/>
    <w:rsid w:val="001B0305"/>
    <w:rsid w:val="0021446D"/>
    <w:rsid w:val="00293FD8"/>
    <w:rsid w:val="002A79C8"/>
    <w:rsid w:val="002C473D"/>
    <w:rsid w:val="002F5857"/>
    <w:rsid w:val="00331D36"/>
    <w:rsid w:val="0038607F"/>
    <w:rsid w:val="0038705A"/>
    <w:rsid w:val="003C2AE6"/>
    <w:rsid w:val="003D06F4"/>
    <w:rsid w:val="004144E6"/>
    <w:rsid w:val="004156B2"/>
    <w:rsid w:val="00437734"/>
    <w:rsid w:val="00454CF6"/>
    <w:rsid w:val="004E14DC"/>
    <w:rsid w:val="00535598"/>
    <w:rsid w:val="00547EE3"/>
    <w:rsid w:val="00551D8A"/>
    <w:rsid w:val="00581B36"/>
    <w:rsid w:val="00583E8E"/>
    <w:rsid w:val="005B0E5F"/>
    <w:rsid w:val="005D6B0B"/>
    <w:rsid w:val="005F168B"/>
    <w:rsid w:val="00601EBD"/>
    <w:rsid w:val="00660836"/>
    <w:rsid w:val="00682C5E"/>
    <w:rsid w:val="00713A74"/>
    <w:rsid w:val="00743C01"/>
    <w:rsid w:val="0077052E"/>
    <w:rsid w:val="00790C4A"/>
    <w:rsid w:val="007E5BD2"/>
    <w:rsid w:val="007E6825"/>
    <w:rsid w:val="008341F4"/>
    <w:rsid w:val="00853C7E"/>
    <w:rsid w:val="00872F18"/>
    <w:rsid w:val="00874EF7"/>
    <w:rsid w:val="008809C4"/>
    <w:rsid w:val="00905DAC"/>
    <w:rsid w:val="00A24894"/>
    <w:rsid w:val="00A43875"/>
    <w:rsid w:val="00A605DC"/>
    <w:rsid w:val="00A63677"/>
    <w:rsid w:val="00AD3DE8"/>
    <w:rsid w:val="00AE46B0"/>
    <w:rsid w:val="00B2185C"/>
    <w:rsid w:val="00B358DC"/>
    <w:rsid w:val="00B66A21"/>
    <w:rsid w:val="00B7746B"/>
    <w:rsid w:val="00BA0DA8"/>
    <w:rsid w:val="00BE2C0A"/>
    <w:rsid w:val="00C12A61"/>
    <w:rsid w:val="00C13753"/>
    <w:rsid w:val="00C47119"/>
    <w:rsid w:val="00C47631"/>
    <w:rsid w:val="00C80EFF"/>
    <w:rsid w:val="00C93F4C"/>
    <w:rsid w:val="00CF5523"/>
    <w:rsid w:val="00D237DF"/>
    <w:rsid w:val="00D262FF"/>
    <w:rsid w:val="00D36255"/>
    <w:rsid w:val="00D42A15"/>
    <w:rsid w:val="00DC4F76"/>
    <w:rsid w:val="00DC7C4C"/>
    <w:rsid w:val="00DF153E"/>
    <w:rsid w:val="00E0131D"/>
    <w:rsid w:val="00E27FE0"/>
    <w:rsid w:val="00E35E0F"/>
    <w:rsid w:val="00E371D1"/>
    <w:rsid w:val="00E50390"/>
    <w:rsid w:val="00E53738"/>
    <w:rsid w:val="00E71359"/>
    <w:rsid w:val="00EA09F2"/>
    <w:rsid w:val="00ED5F67"/>
    <w:rsid w:val="00EF08AE"/>
    <w:rsid w:val="00EF2F14"/>
    <w:rsid w:val="00EF5790"/>
    <w:rsid w:val="00F04709"/>
    <w:rsid w:val="00F3025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5965-60E1-46EB-BD53-B0043327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Willoughby, Kim</cp:lastModifiedBy>
  <cp:revision>2</cp:revision>
  <cp:lastPrinted>2012-03-22T16:09:00Z</cp:lastPrinted>
  <dcterms:created xsi:type="dcterms:W3CDTF">2015-04-02T14:15:00Z</dcterms:created>
  <dcterms:modified xsi:type="dcterms:W3CDTF">2015-04-02T14:15:00Z</dcterms:modified>
</cp:coreProperties>
</file>