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FC18A9">
        <w:rPr>
          <w:rFonts w:ascii="Arial" w:hAnsi="Arial" w:cs="Arial"/>
          <w:sz w:val="24"/>
          <w:szCs w:val="24"/>
        </w:rPr>
        <w:t>April 2, 2015</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454CF6" w:rsidP="00551D8A">
            <w:pPr>
              <w:ind w:right="-720"/>
              <w:rPr>
                <w:rFonts w:ascii="Arial" w:hAnsi="Arial" w:cs="Arial"/>
                <w:i/>
                <w:sz w:val="20"/>
                <w:szCs w:val="20"/>
              </w:rPr>
            </w:pPr>
            <w:r>
              <w:rPr>
                <w:rFonts w:ascii="Arial" w:hAnsi="Arial" w:cs="Arial"/>
                <w:i/>
                <w:sz w:val="20"/>
                <w:szCs w:val="20"/>
              </w:rPr>
              <w:t>SPR-3(07</w:t>
            </w:r>
            <w:r w:rsidR="00FF6FBB">
              <w:rPr>
                <w:rFonts w:ascii="Arial" w:hAnsi="Arial" w:cs="Arial"/>
                <w:i/>
                <w:sz w:val="20"/>
                <w:szCs w:val="20"/>
              </w:rPr>
              <w:t>4</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5D04BF" w:rsidRDefault="00551D8A" w:rsidP="00D566AA">
            <w:pPr>
              <w:pStyle w:val="ListParagraph"/>
              <w:tabs>
                <w:tab w:val="left" w:pos="252"/>
              </w:tabs>
              <w:ind w:left="342" w:right="-720"/>
              <w:rPr>
                <w:rFonts w:ascii="Arial" w:hAnsi="Arial" w:cs="Arial"/>
                <w:sz w:val="20"/>
                <w:szCs w:val="20"/>
              </w:rPr>
            </w:pPr>
            <w:r w:rsidRPr="00FC18A9">
              <w:rPr>
                <w:rFonts w:ascii="Arial" w:hAnsi="Arial" w:cs="Arial"/>
                <w:sz w:val="20"/>
                <w:szCs w:val="20"/>
                <w:highlight w:val="yellow"/>
              </w:rPr>
              <w:t>Quarter 1 (January 1 – March 31)</w:t>
            </w:r>
          </w:p>
          <w:p w:rsidR="005D04BF" w:rsidRPr="005D04BF" w:rsidRDefault="005D04BF" w:rsidP="005D04BF">
            <w:pPr>
              <w:tabs>
                <w:tab w:val="left" w:pos="252"/>
              </w:tabs>
              <w:ind w:left="-18" w:right="-720"/>
              <w:rPr>
                <w:rFonts w:ascii="Arial" w:hAnsi="Arial" w:cs="Arial"/>
                <w:sz w:val="20"/>
                <w:szCs w:val="20"/>
              </w:rPr>
            </w:pPr>
          </w:p>
          <w:p w:rsidR="00551D8A" w:rsidRPr="005D04BF" w:rsidRDefault="00551D8A" w:rsidP="00BF2756">
            <w:pPr>
              <w:pStyle w:val="ListParagraph"/>
              <w:ind w:left="342" w:right="-720"/>
              <w:rPr>
                <w:rFonts w:ascii="Arial" w:hAnsi="Arial" w:cs="Arial"/>
                <w:sz w:val="20"/>
                <w:szCs w:val="20"/>
              </w:rPr>
            </w:pPr>
            <w:r w:rsidRPr="008901EF">
              <w:rPr>
                <w:rFonts w:ascii="Arial" w:hAnsi="Arial" w:cs="Arial"/>
                <w:sz w:val="20"/>
                <w:szCs w:val="20"/>
              </w:rPr>
              <w:t>Quarter 2 (April 1 – June 30)</w:t>
            </w:r>
          </w:p>
          <w:p w:rsidR="00D566AA" w:rsidRPr="00D566AA" w:rsidRDefault="00D566AA" w:rsidP="00037FBC">
            <w:pPr>
              <w:ind w:right="-720"/>
              <w:rPr>
                <w:rFonts w:ascii="Arial" w:hAnsi="Arial" w:cs="Arial"/>
                <w:sz w:val="20"/>
                <w:szCs w:val="20"/>
              </w:rPr>
            </w:pPr>
          </w:p>
          <w:p w:rsidR="00D566AA" w:rsidRPr="00BF2756" w:rsidRDefault="00551D8A" w:rsidP="00312375">
            <w:pPr>
              <w:pStyle w:val="ListParagraph"/>
              <w:ind w:left="342" w:right="-720"/>
              <w:rPr>
                <w:rFonts w:ascii="Arial" w:hAnsi="Arial" w:cs="Arial"/>
                <w:sz w:val="20"/>
                <w:szCs w:val="20"/>
              </w:rPr>
            </w:pPr>
            <w:r w:rsidRPr="00FC18A9">
              <w:rPr>
                <w:rFonts w:ascii="Arial" w:hAnsi="Arial" w:cs="Arial"/>
                <w:sz w:val="20"/>
                <w:szCs w:val="20"/>
              </w:rPr>
              <w:t>Quarter 3 (July 1 – September 30)</w:t>
            </w:r>
          </w:p>
          <w:p w:rsidR="00D566AA" w:rsidRDefault="00D566AA" w:rsidP="00D566AA">
            <w:pPr>
              <w:ind w:left="342" w:right="-720"/>
              <w:rPr>
                <w:rFonts w:ascii="Arial" w:hAnsi="Arial" w:cs="Arial"/>
                <w:sz w:val="20"/>
                <w:szCs w:val="20"/>
              </w:rPr>
            </w:pPr>
          </w:p>
          <w:p w:rsidR="00551D8A" w:rsidRPr="00454CF6" w:rsidRDefault="00581B36" w:rsidP="00D566AA">
            <w:pPr>
              <w:ind w:left="342" w:right="-720"/>
              <w:rPr>
                <w:rFonts w:ascii="Arial" w:hAnsi="Arial" w:cs="Arial"/>
                <w:sz w:val="20"/>
                <w:szCs w:val="20"/>
              </w:rPr>
            </w:pPr>
            <w:r w:rsidRPr="009C73C6">
              <w:rPr>
                <w:rFonts w:ascii="Arial" w:hAnsi="Arial" w:cs="Arial"/>
                <w:sz w:val="20"/>
                <w:szCs w:val="20"/>
              </w:rPr>
              <w:t>Quarter 4 (October 1</w:t>
            </w:r>
            <w:r w:rsidR="00551D8A" w:rsidRPr="009C73C6">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FF6FBB" w:rsidP="00551D8A">
            <w:pPr>
              <w:ind w:right="-720"/>
              <w:rPr>
                <w:rFonts w:ascii="Arial" w:hAnsi="Arial" w:cs="Arial"/>
                <w:b/>
                <w:sz w:val="20"/>
                <w:szCs w:val="20"/>
              </w:rPr>
            </w:pPr>
            <w:r>
              <w:rPr>
                <w:rFonts w:ascii="Arial" w:hAnsi="Arial" w:cs="Arial"/>
                <w:b/>
                <w:sz w:val="20"/>
                <w:szCs w:val="20"/>
              </w:rPr>
              <w:t>State Pavement Technology Consortium</w:t>
            </w:r>
            <w:r w:rsidR="00A12B26">
              <w:rPr>
                <w:rFonts w:ascii="Arial" w:hAnsi="Arial" w:cs="Arial"/>
                <w:b/>
                <w:sz w:val="20"/>
                <w:szCs w:val="20"/>
              </w:rPr>
              <w:t xml:space="preserve"> (SPTC)</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454CF6" w:rsidRPr="00C13753" w:rsidRDefault="00FF6FBB" w:rsidP="0003476C">
            <w:pPr>
              <w:ind w:right="-720"/>
              <w:rPr>
                <w:rFonts w:ascii="Arial" w:hAnsi="Arial" w:cs="Arial"/>
                <w:b/>
                <w:sz w:val="20"/>
                <w:szCs w:val="20"/>
              </w:rPr>
            </w:pPr>
            <w:r>
              <w:rPr>
                <w:rFonts w:ascii="Arial" w:hAnsi="Arial" w:cs="Arial"/>
                <w:b/>
                <w:sz w:val="20"/>
                <w:szCs w:val="20"/>
              </w:rPr>
              <w:t>multiple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54CF6" w:rsidP="0003476C">
            <w:pPr>
              <w:ind w:right="-720"/>
              <w:rPr>
                <w:rFonts w:ascii="Arial" w:hAnsi="Arial" w:cs="Arial"/>
                <w:sz w:val="20"/>
                <w:szCs w:val="20"/>
              </w:rPr>
            </w:pPr>
            <w:r>
              <w:rPr>
                <w:rFonts w:ascii="Arial" w:hAnsi="Arial" w:cs="Arial"/>
                <w:sz w:val="20"/>
                <w:szCs w:val="20"/>
              </w:rPr>
              <w:t>199</w:t>
            </w:r>
            <w:r w:rsidR="00FF6FBB">
              <w:rPr>
                <w:rFonts w:ascii="Arial" w:hAnsi="Arial" w:cs="Arial"/>
                <w:sz w:val="20"/>
                <w:szCs w:val="20"/>
              </w:rPr>
              <w:t>9</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82465D" w:rsidP="00B5496C">
            <w:pPr>
              <w:ind w:right="-720"/>
              <w:rPr>
                <w:rFonts w:ascii="Arial" w:hAnsi="Arial" w:cs="Arial"/>
                <w:b/>
                <w:sz w:val="20"/>
                <w:szCs w:val="20"/>
              </w:rPr>
            </w:pPr>
            <w:r>
              <w:rPr>
                <w:rFonts w:ascii="Arial" w:hAnsi="Arial" w:cs="Arial"/>
                <w:b/>
                <w:sz w:val="20"/>
                <w:szCs w:val="20"/>
              </w:rPr>
              <w:t>7/31/2015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12375" w:rsidP="00551D8A">
      <w:pPr>
        <w:spacing w:after="0"/>
        <w:ind w:left="-720" w:right="-7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column">
                  <wp:posOffset>4391025</wp:posOffset>
                </wp:positionH>
                <wp:positionV relativeFrom="paragraph">
                  <wp:posOffset>128905</wp:posOffset>
                </wp:positionV>
                <wp:extent cx="95250" cy="90805"/>
                <wp:effectExtent l="9525" t="952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525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5.75pt;margin-top:10.15pt;width:7.5pt;height:7.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"/>
            </w:pict>
          </mc:Fallback>
        </mc:AlternateContent>
      </w:r>
      <w:r w:rsidR="00FF6FBB" w:rsidRPr="00FF6FBB">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r w:rsidR="00743C01" w:rsidRPr="00B66A21">
        <w:rPr>
          <w:rFonts w:ascii="Arial" w:hAnsi="Arial" w:cs="Arial"/>
          <w:sz w:val="20"/>
          <w:szCs w:val="20"/>
        </w:rPr>
        <w:t>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CD6DC6">
            <w:pPr>
              <w:ind w:right="-720"/>
              <w:rPr>
                <w:rFonts w:ascii="Arial" w:hAnsi="Arial" w:cs="Arial"/>
                <w:sz w:val="20"/>
                <w:szCs w:val="20"/>
              </w:rPr>
            </w:pPr>
            <w:r>
              <w:rPr>
                <w:rFonts w:ascii="Arial" w:hAnsi="Arial" w:cs="Arial"/>
                <w:sz w:val="20"/>
                <w:szCs w:val="20"/>
              </w:rPr>
              <w:t>$</w:t>
            </w:r>
            <w:r w:rsidR="00CD6DC6">
              <w:rPr>
                <w:rFonts w:ascii="Arial" w:hAnsi="Arial" w:cs="Arial"/>
                <w:sz w:val="20"/>
                <w:szCs w:val="20"/>
              </w:rPr>
              <w:t>844,371.43</w:t>
            </w:r>
          </w:p>
        </w:tc>
        <w:tc>
          <w:tcPr>
            <w:tcW w:w="3330" w:type="dxa"/>
          </w:tcPr>
          <w:p w:rsidR="00F30254" w:rsidRPr="00B66A21" w:rsidRDefault="00F30254" w:rsidP="00FC18A9">
            <w:pPr>
              <w:ind w:right="-720"/>
              <w:rPr>
                <w:rFonts w:ascii="Arial" w:hAnsi="Arial" w:cs="Arial"/>
                <w:sz w:val="20"/>
                <w:szCs w:val="20"/>
              </w:rPr>
            </w:pPr>
            <w:r>
              <w:rPr>
                <w:rFonts w:ascii="Arial" w:hAnsi="Arial" w:cs="Arial"/>
                <w:sz w:val="20"/>
                <w:szCs w:val="20"/>
              </w:rPr>
              <w:t>$</w:t>
            </w:r>
            <w:r w:rsidR="00FC18A9">
              <w:rPr>
                <w:rFonts w:ascii="Arial" w:hAnsi="Arial" w:cs="Arial"/>
                <w:sz w:val="20"/>
                <w:szCs w:val="20"/>
              </w:rPr>
              <w:t>844</w:t>
            </w:r>
            <w:r w:rsidR="008901EF">
              <w:rPr>
                <w:rFonts w:ascii="Arial" w:hAnsi="Arial" w:cs="Arial"/>
                <w:sz w:val="20"/>
                <w:szCs w:val="20"/>
              </w:rPr>
              <w:t>K</w:t>
            </w:r>
          </w:p>
        </w:tc>
        <w:tc>
          <w:tcPr>
            <w:tcW w:w="3420" w:type="dxa"/>
          </w:tcPr>
          <w:p w:rsidR="00874EF7" w:rsidRPr="00B66A21" w:rsidRDefault="00FC18A9" w:rsidP="00551D8A">
            <w:pPr>
              <w:ind w:right="-720"/>
              <w:rPr>
                <w:rFonts w:ascii="Arial" w:hAnsi="Arial" w:cs="Arial"/>
                <w:sz w:val="20"/>
                <w:szCs w:val="20"/>
              </w:rPr>
            </w:pPr>
            <w:r>
              <w:rPr>
                <w:rFonts w:ascii="Arial" w:hAnsi="Arial" w:cs="Arial"/>
                <w:sz w:val="20"/>
                <w:szCs w:val="20"/>
              </w:rPr>
              <w:t>100</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3D1C23">
            <w:pPr>
              <w:ind w:right="-720"/>
              <w:rPr>
                <w:rFonts w:ascii="Arial" w:hAnsi="Arial" w:cs="Arial"/>
                <w:sz w:val="20"/>
                <w:szCs w:val="20"/>
              </w:rPr>
            </w:pPr>
          </w:p>
        </w:tc>
        <w:tc>
          <w:tcPr>
            <w:tcW w:w="3330" w:type="dxa"/>
          </w:tcPr>
          <w:p w:rsidR="00B66A21" w:rsidRPr="00B66A21" w:rsidRDefault="00B66A21" w:rsidP="003D1C23">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Pr="00BA0DA8" w:rsidRDefault="00BA0DA8" w:rsidP="00BA0DA8">
            <w:pPr>
              <w:ind w:right="252"/>
              <w:rPr>
                <w:rFonts w:ascii="Arial" w:hAnsi="Arial" w:cs="Arial"/>
                <w:sz w:val="20"/>
                <w:szCs w:val="20"/>
              </w:rPr>
            </w:pPr>
            <w:r w:rsidRPr="00BA0DA8">
              <w:rPr>
                <w:rFonts w:ascii="Arial" w:hAnsi="Arial" w:cs="Arial"/>
                <w:color w:val="333333"/>
                <w:sz w:val="20"/>
                <w:szCs w:val="20"/>
              </w:rPr>
              <w:t xml:space="preserve">Under this project, each state will create funding to allow technical staff and university researchers to participate in a series of project meetings focused on sharing information, identifying critical issues of mutual interest, developing plans for joint research and testing, and educating transportation professionals on the latest developments in the design, construction, reconstruction and maintenance of highway pavements. </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C18A9" w:rsidRDefault="00FC18A9" w:rsidP="008901EF">
            <w:pPr>
              <w:ind w:right="252"/>
              <w:rPr>
                <w:rFonts w:ascii="Arial" w:hAnsi="Arial" w:cs="Arial"/>
                <w:sz w:val="20"/>
                <w:szCs w:val="20"/>
              </w:rPr>
            </w:pPr>
            <w:r>
              <w:rPr>
                <w:rFonts w:ascii="Arial" w:hAnsi="Arial" w:cs="Arial"/>
                <w:sz w:val="20"/>
                <w:szCs w:val="20"/>
              </w:rPr>
              <w:t>This pooled fund is complete and will be closed. The latest project, HeadLight, is complete and the final report will be published within the next month. The pilot studies in each state have been completed and the results were outstanding.</w:t>
            </w:r>
          </w:p>
          <w:p w:rsidR="00FC18A9" w:rsidRDefault="00FC18A9" w:rsidP="008901EF">
            <w:pPr>
              <w:ind w:right="252"/>
              <w:rPr>
                <w:rFonts w:ascii="Arial" w:hAnsi="Arial" w:cs="Arial"/>
                <w:sz w:val="20"/>
                <w:szCs w:val="20"/>
              </w:rPr>
            </w:pPr>
          </w:p>
          <w:p w:rsidR="00E71359" w:rsidRDefault="00FC18A9" w:rsidP="00F30254">
            <w:pPr>
              <w:ind w:right="252"/>
              <w:rPr>
                <w:rFonts w:ascii="Arial" w:hAnsi="Arial" w:cs="Arial"/>
                <w:sz w:val="20"/>
                <w:szCs w:val="20"/>
              </w:rPr>
            </w:pPr>
            <w:r>
              <w:rPr>
                <w:rFonts w:ascii="Arial" w:hAnsi="Arial" w:cs="Arial"/>
                <w:sz w:val="20"/>
                <w:szCs w:val="20"/>
              </w:rPr>
              <w:t>Some takeaways from the pilot projects:</w:t>
            </w:r>
          </w:p>
          <w:p w:rsidR="00FC18A9" w:rsidRDefault="00FC18A9" w:rsidP="00FC18A9">
            <w:pPr>
              <w:pStyle w:val="ListParagraph"/>
              <w:numPr>
                <w:ilvl w:val="0"/>
                <w:numId w:val="8"/>
              </w:numPr>
            </w:pPr>
            <w:r>
              <w:t>Inspectors using the HeadLight Inspection Unit significantly increased their productivity without increasing their work hours. Completing inspection reports, reduced travel time, and searching for information using the HeadLight Inspection Unit provided an average overall time savings of 1.78 hours per day per inspector.</w:t>
            </w:r>
          </w:p>
          <w:p w:rsidR="00FC18A9" w:rsidRDefault="00FC18A9" w:rsidP="00FC18A9">
            <w:pPr>
              <w:pStyle w:val="ListParagraph"/>
              <w:numPr>
                <w:ilvl w:val="0"/>
                <w:numId w:val="8"/>
              </w:numPr>
            </w:pPr>
            <w:r>
              <w:t>Inspectors using the HeadLight Inspection Units collected and shared 2.75 times more inspection information while increasing the composition of valuable inspection information retained by the agencies.</w:t>
            </w:r>
          </w:p>
          <w:p w:rsidR="00FC18A9" w:rsidRDefault="00FC18A9" w:rsidP="00FC18A9">
            <w:pPr>
              <w:pStyle w:val="ListParagraph"/>
              <w:numPr>
                <w:ilvl w:val="0"/>
                <w:numId w:val="8"/>
              </w:numPr>
            </w:pPr>
            <w:r>
              <w:t xml:space="preserve">Proper software tools on the mobile device are critical to achieve the productivity, quality, and availability benefits of mobile technology. The software integration of key hardware tools within the HeadLight Inspection Unit allowed inspectors to include and integrate a larger variety of observation types into their inspection reports. In particular, there were significant increases in photo, video, and weather observations provided directly in inspection reports, which contributed to more complete project records. </w:t>
            </w:r>
          </w:p>
          <w:p w:rsidR="00FC18A9" w:rsidRDefault="00FC18A9" w:rsidP="00FC18A9">
            <w:pPr>
              <w:pStyle w:val="ListParagraph"/>
              <w:numPr>
                <w:ilvl w:val="0"/>
                <w:numId w:val="8"/>
              </w:numPr>
            </w:pPr>
            <w:r>
              <w:t xml:space="preserve">The automated inclusion of time and location metadata with every observation within HeadLight provides a complete observation record that can be recalled in the future by location or time. </w:t>
            </w:r>
          </w:p>
          <w:p w:rsidR="00FC18A9" w:rsidRDefault="00FC18A9" w:rsidP="00FC18A9">
            <w:pPr>
              <w:pStyle w:val="ListParagraph"/>
              <w:numPr>
                <w:ilvl w:val="0"/>
                <w:numId w:val="8"/>
              </w:numPr>
            </w:pPr>
            <w:r>
              <w:t xml:space="preserve">Compared to traditional agency practice where project engineers and management personnel referred to inspection reports as their primary source of inspection documentation, HeadLight improved the timeliness of inspection information availability to project engineers and management by enabling real-time access to inspection information collected throughout the day on each active jobsite. </w:t>
            </w:r>
          </w:p>
          <w:p w:rsidR="00FC18A9" w:rsidRDefault="00FC18A9" w:rsidP="00FC18A9">
            <w:pPr>
              <w:pStyle w:val="ListParagraph"/>
              <w:numPr>
                <w:ilvl w:val="0"/>
                <w:numId w:val="8"/>
              </w:numPr>
            </w:pPr>
            <w:r>
              <w:t>Learning to use mobile technology was not a barrier to adoption. On average, project inspectors were comfortable with using the HeadLight Inspection Unit in 2.7 days.</w:t>
            </w:r>
          </w:p>
          <w:p w:rsidR="00FC18A9" w:rsidRDefault="00FC18A9" w:rsidP="00FC18A9">
            <w:pPr>
              <w:pStyle w:val="ListParagraph"/>
              <w:numPr>
                <w:ilvl w:val="0"/>
                <w:numId w:val="8"/>
              </w:numPr>
            </w:pPr>
            <w:r w:rsidRPr="00CD103D">
              <w:t xml:space="preserve">Designing </w:t>
            </w:r>
            <w:r>
              <w:t xml:space="preserve">mobile technology </w:t>
            </w:r>
            <w:r w:rsidRPr="00CD103D">
              <w:t xml:space="preserve">features and capabilities specifically for the job functions </w:t>
            </w:r>
            <w:r>
              <w:t>with</w:t>
            </w:r>
            <w:r w:rsidRPr="00CD103D">
              <w:t>in project inspection wa</w:t>
            </w:r>
            <w:r>
              <w:t>s a critical factor in having successful adoption</w:t>
            </w:r>
            <w:r w:rsidRPr="00CD103D">
              <w:t xml:space="preserve"> of </w:t>
            </w:r>
            <w:r>
              <w:t>mobile technology</w:t>
            </w:r>
            <w:r w:rsidRPr="00CD103D">
              <w:t>.</w:t>
            </w:r>
          </w:p>
          <w:p w:rsidR="00FC18A9" w:rsidRDefault="00FC18A9" w:rsidP="00FC18A9">
            <w:pPr>
              <w:pStyle w:val="ListParagraph"/>
              <w:numPr>
                <w:ilvl w:val="0"/>
                <w:numId w:val="8"/>
              </w:numPr>
            </w:pPr>
            <w:r>
              <w:t xml:space="preserve">Existing tablet use within the agency limited to the traditional process provided negligible productivity, quality, and availability benefits in the field. Without the proper software, tablets were used much like a laptop in the traditional process. </w:t>
            </w:r>
          </w:p>
          <w:p w:rsidR="00FC18A9" w:rsidRDefault="00FC18A9" w:rsidP="00FC18A9">
            <w:pPr>
              <w:pStyle w:val="ListParagraph"/>
              <w:numPr>
                <w:ilvl w:val="0"/>
                <w:numId w:val="8"/>
              </w:numPr>
            </w:pPr>
            <w:r>
              <w:t xml:space="preserve">Project inspectors using the HeadLight Inspection Units found the system useful as it incorporated specific sets of tools to support inspectors with their daily inspection tasks. 100% of the project inspectors prefer to use the HeadLight Inspection Units over their traditional inspection process. </w:t>
            </w:r>
          </w:p>
          <w:p w:rsidR="00FC18A9" w:rsidRPr="00FC18A9" w:rsidRDefault="00FC18A9" w:rsidP="00FC18A9">
            <w:pPr>
              <w:pStyle w:val="ListParagraph"/>
              <w:numPr>
                <w:ilvl w:val="0"/>
                <w:numId w:val="8"/>
              </w:numPr>
              <w:ind w:right="252"/>
              <w:rPr>
                <w:rFonts w:ascii="Arial" w:hAnsi="Arial" w:cs="Arial"/>
                <w:sz w:val="20"/>
                <w:szCs w:val="20"/>
              </w:rPr>
            </w:pPr>
            <w:r>
              <w:t>The use of mobile technology in the field posed no significant safety hazards when compared to current practices. No project inspectors involved in the pilot program experienced any safety incidents due to the use of the mobile device.</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FC18A9" w:rsidP="00F30254">
            <w:pPr>
              <w:ind w:right="180"/>
              <w:rPr>
                <w:rFonts w:ascii="Arial" w:hAnsi="Arial" w:cs="Arial"/>
                <w:sz w:val="20"/>
                <w:szCs w:val="20"/>
              </w:rPr>
            </w:pPr>
            <w:r>
              <w:rPr>
                <w:rFonts w:ascii="Arial" w:hAnsi="Arial" w:cs="Arial"/>
                <w:sz w:val="20"/>
                <w:szCs w:val="20"/>
              </w:rPr>
              <w:t>No work anticipated next quarter except receiving the final report and publishing.</w:t>
            </w: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E71359" w:rsidRPr="00E71359" w:rsidRDefault="008901EF" w:rsidP="00E71359">
            <w:pPr>
              <w:autoSpaceDE w:val="0"/>
              <w:autoSpaceDN w:val="0"/>
              <w:adjustRightInd w:val="0"/>
              <w:jc w:val="both"/>
              <w:rPr>
                <w:rFonts w:ascii="Arial" w:eastAsia="Batang" w:hAnsi="Arial" w:cs="Arial"/>
                <w:sz w:val="20"/>
                <w:szCs w:val="20"/>
                <w:lang w:eastAsia="ko-KR"/>
              </w:rPr>
            </w:pPr>
            <w:r>
              <w:rPr>
                <w:rFonts w:ascii="Arial" w:eastAsia="Batang" w:hAnsi="Arial" w:cs="Arial"/>
                <w:sz w:val="20"/>
                <w:szCs w:val="20"/>
                <w:lang w:eastAsia="ko-KR"/>
              </w:rPr>
              <w:t>The Headlight application pilots have been very successful.</w:t>
            </w:r>
            <w:r w:rsidR="009B524D">
              <w:rPr>
                <w:rFonts w:ascii="Arial" w:eastAsia="Batang" w:hAnsi="Arial" w:cs="Arial"/>
                <w:sz w:val="20"/>
                <w:szCs w:val="20"/>
                <w:lang w:eastAsia="ko-KR"/>
              </w:rPr>
              <w:t xml:space="preserve"> WSDOT will be using the Headlight units in t</w:t>
            </w:r>
            <w:r w:rsidR="00523B3C">
              <w:rPr>
                <w:rFonts w:ascii="Arial" w:eastAsia="Batang" w:hAnsi="Arial" w:cs="Arial"/>
                <w:sz w:val="20"/>
                <w:szCs w:val="20"/>
                <w:lang w:eastAsia="ko-KR"/>
              </w:rPr>
              <w:t>he field for inspection in 2015 (funded by WSDOT Project Engineer Offices). WSDOT will also continue additional research over the next two years.</w:t>
            </w:r>
            <w:bookmarkStart w:id="0" w:name="_GoBack"/>
            <w:bookmarkEnd w:id="0"/>
          </w:p>
          <w:p w:rsidR="00601EBD" w:rsidRDefault="00601EBD" w:rsidP="00BA0DA8">
            <w:pPr>
              <w:pStyle w:val="List1"/>
              <w:numPr>
                <w:ilvl w:val="0"/>
                <w:numId w:val="0"/>
              </w:numPr>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3C2AE6" w:rsidP="00F30254">
            <w:pPr>
              <w:ind w:right="180"/>
              <w:rPr>
                <w:rFonts w:ascii="Arial" w:hAnsi="Arial" w:cs="Arial"/>
                <w:sz w:val="20"/>
                <w:szCs w:val="20"/>
              </w:rPr>
            </w:pPr>
            <w:r>
              <w:rPr>
                <w:rFonts w:ascii="Arial" w:hAnsi="Arial" w:cs="Arial"/>
                <w:sz w:val="20"/>
                <w:szCs w:val="20"/>
              </w:rPr>
              <w:t>Research conducted has been implemented.</w:t>
            </w: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7C1" w:rsidRDefault="002047C1" w:rsidP="00106C83">
      <w:pPr>
        <w:spacing w:after="0" w:line="240" w:lineRule="auto"/>
      </w:pPr>
      <w:r>
        <w:separator/>
      </w:r>
    </w:p>
  </w:endnote>
  <w:endnote w:type="continuationSeparator" w:id="0">
    <w:p w:rsidR="002047C1" w:rsidRDefault="002047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7C1" w:rsidRDefault="002047C1" w:rsidP="00106C83">
      <w:pPr>
        <w:spacing w:after="0" w:line="240" w:lineRule="auto"/>
      </w:pPr>
      <w:r>
        <w:separator/>
      </w:r>
    </w:p>
  </w:footnote>
  <w:footnote w:type="continuationSeparator" w:id="0">
    <w:p w:rsidR="002047C1" w:rsidRDefault="002047C1"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B2C"/>
    <w:multiLevelType w:val="hybridMultilevel"/>
    <w:tmpl w:val="8D96279C"/>
    <w:lvl w:ilvl="0" w:tplc="F8F6B53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4C84"/>
    <w:multiLevelType w:val="hybridMultilevel"/>
    <w:tmpl w:val="2424E95E"/>
    <w:lvl w:ilvl="0" w:tplc="63205F5E">
      <w:start w:val="1"/>
      <w:numFmt w:val="bullet"/>
      <w:lvlText w:val=""/>
      <w:lvlJc w:val="left"/>
      <w:pPr>
        <w:ind w:left="702" w:hanging="360"/>
      </w:pPr>
      <w:rPr>
        <w:rFonts w:ascii="Wingdings" w:hAnsi="Wingdings" w:hint="default"/>
        <w:sz w:val="24"/>
        <w:szCs w:val="24"/>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nsid w:val="1CA052E5"/>
    <w:multiLevelType w:val="hybridMultilevel"/>
    <w:tmpl w:val="E8FCBA4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A1269"/>
    <w:multiLevelType w:val="hybridMultilevel"/>
    <w:tmpl w:val="B304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76785F"/>
    <w:multiLevelType w:val="singleLevel"/>
    <w:tmpl w:val="73E4631E"/>
    <w:lvl w:ilvl="0">
      <w:start w:val="1"/>
      <w:numFmt w:val="decimal"/>
      <w:pStyle w:val="List1"/>
      <w:lvlText w:val="%1."/>
      <w:lvlJc w:val="left"/>
      <w:pPr>
        <w:tabs>
          <w:tab w:val="num" w:pos="360"/>
        </w:tabs>
        <w:ind w:left="360" w:hanging="360"/>
      </w:pPr>
    </w:lvl>
  </w:abstractNum>
  <w:abstractNum w:abstractNumId="6">
    <w:nsid w:val="38EC72E0"/>
    <w:multiLevelType w:val="hybridMultilevel"/>
    <w:tmpl w:val="793669C2"/>
    <w:lvl w:ilvl="0" w:tplc="7E8083DE">
      <w:start w:val="1"/>
      <w:numFmt w:val="decimal"/>
      <w:lvlText w:val="Finding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0274DF"/>
    <w:multiLevelType w:val="hybridMultilevel"/>
    <w:tmpl w:val="C05E573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547B42A9"/>
    <w:multiLevelType w:val="hybridMultilevel"/>
    <w:tmpl w:val="55D2BEAE"/>
    <w:lvl w:ilvl="0" w:tplc="C13255B2">
      <w:start w:val="1"/>
      <w:numFmt w:val="bullet"/>
      <w:lvlText w:val="ý"/>
      <w:lvlJc w:val="left"/>
      <w:pPr>
        <w:ind w:left="720" w:hanging="360"/>
      </w:pPr>
      <w:rPr>
        <w:rFonts w:asciiTheme="majorHAnsi" w:hAnsiTheme="majorHAnsi"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874C16"/>
    <w:multiLevelType w:val="hybridMultilevel"/>
    <w:tmpl w:val="435440BA"/>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num w:numId="1">
    <w:abstractNumId w:val="3"/>
  </w:num>
  <w:num w:numId="2">
    <w:abstractNumId w:val="5"/>
  </w:num>
  <w:num w:numId="3">
    <w:abstractNumId w:val="0"/>
  </w:num>
  <w:num w:numId="4">
    <w:abstractNumId w:val="8"/>
  </w:num>
  <w:num w:numId="5">
    <w:abstractNumId w:val="1"/>
  </w:num>
  <w:num w:numId="6">
    <w:abstractNumId w:val="2"/>
  </w:num>
  <w:num w:numId="7">
    <w:abstractNumId w:val="7"/>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43DAE"/>
    <w:rsid w:val="000736BB"/>
    <w:rsid w:val="000B665A"/>
    <w:rsid w:val="000E62BB"/>
    <w:rsid w:val="00106C83"/>
    <w:rsid w:val="001547D0"/>
    <w:rsid w:val="00161153"/>
    <w:rsid w:val="002047C1"/>
    <w:rsid w:val="0021446D"/>
    <w:rsid w:val="00226570"/>
    <w:rsid w:val="00247AE5"/>
    <w:rsid w:val="00293FD8"/>
    <w:rsid w:val="002A79C8"/>
    <w:rsid w:val="002B709B"/>
    <w:rsid w:val="00312375"/>
    <w:rsid w:val="0038705A"/>
    <w:rsid w:val="003C2AE6"/>
    <w:rsid w:val="003D1C23"/>
    <w:rsid w:val="004144E6"/>
    <w:rsid w:val="004156B2"/>
    <w:rsid w:val="00437734"/>
    <w:rsid w:val="00454CF6"/>
    <w:rsid w:val="00476409"/>
    <w:rsid w:val="004E14DC"/>
    <w:rsid w:val="00503373"/>
    <w:rsid w:val="00523B3C"/>
    <w:rsid w:val="00535598"/>
    <w:rsid w:val="00547EE3"/>
    <w:rsid w:val="00551D8A"/>
    <w:rsid w:val="00581B36"/>
    <w:rsid w:val="00583E8E"/>
    <w:rsid w:val="005D04BF"/>
    <w:rsid w:val="005D6B0B"/>
    <w:rsid w:val="00601EBD"/>
    <w:rsid w:val="00682C5E"/>
    <w:rsid w:val="0069631F"/>
    <w:rsid w:val="006A31D0"/>
    <w:rsid w:val="00743C01"/>
    <w:rsid w:val="00790C4A"/>
    <w:rsid w:val="007D44CF"/>
    <w:rsid w:val="007D76A2"/>
    <w:rsid w:val="007E5BD2"/>
    <w:rsid w:val="008234C1"/>
    <w:rsid w:val="0082465D"/>
    <w:rsid w:val="00845F3E"/>
    <w:rsid w:val="00853C7E"/>
    <w:rsid w:val="00872F18"/>
    <w:rsid w:val="00874EF7"/>
    <w:rsid w:val="008901EF"/>
    <w:rsid w:val="00905DAC"/>
    <w:rsid w:val="00906121"/>
    <w:rsid w:val="009929BE"/>
    <w:rsid w:val="009B524D"/>
    <w:rsid w:val="009C73C6"/>
    <w:rsid w:val="00A11DF3"/>
    <w:rsid w:val="00A12B26"/>
    <w:rsid w:val="00A43875"/>
    <w:rsid w:val="00A63677"/>
    <w:rsid w:val="00AC7279"/>
    <w:rsid w:val="00AE46B0"/>
    <w:rsid w:val="00B2185C"/>
    <w:rsid w:val="00B358DC"/>
    <w:rsid w:val="00B5496C"/>
    <w:rsid w:val="00B66A21"/>
    <w:rsid w:val="00B76CDE"/>
    <w:rsid w:val="00BA0DA8"/>
    <w:rsid w:val="00BC6B84"/>
    <w:rsid w:val="00BF2756"/>
    <w:rsid w:val="00C12A61"/>
    <w:rsid w:val="00C13753"/>
    <w:rsid w:val="00C5421E"/>
    <w:rsid w:val="00CD6DC6"/>
    <w:rsid w:val="00D10FB6"/>
    <w:rsid w:val="00D262FF"/>
    <w:rsid w:val="00D42A15"/>
    <w:rsid w:val="00D566AA"/>
    <w:rsid w:val="00D870B3"/>
    <w:rsid w:val="00E0526A"/>
    <w:rsid w:val="00E35E0F"/>
    <w:rsid w:val="00E371D1"/>
    <w:rsid w:val="00E53738"/>
    <w:rsid w:val="00E563EF"/>
    <w:rsid w:val="00E71359"/>
    <w:rsid w:val="00ED5F67"/>
    <w:rsid w:val="00EF08AE"/>
    <w:rsid w:val="00EF5790"/>
    <w:rsid w:val="00F30254"/>
    <w:rsid w:val="00F93E70"/>
    <w:rsid w:val="00FC18A9"/>
    <w:rsid w:val="00FF11C2"/>
    <w:rsid w:val="00FF32BE"/>
    <w:rsid w:val="00FF6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1">
    <w:name w:val="List1"/>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2EBFB-AC0A-4E38-8801-23C8A20B2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Willoughby, Kim</cp:lastModifiedBy>
  <cp:revision>2</cp:revision>
  <cp:lastPrinted>2011-06-21T20:32:00Z</cp:lastPrinted>
  <dcterms:created xsi:type="dcterms:W3CDTF">2015-04-02T13:45:00Z</dcterms:created>
  <dcterms:modified xsi:type="dcterms:W3CDTF">2015-04-02T13:45:00Z</dcterms:modified>
</cp:coreProperties>
</file>