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1613E2" w:rsidRPr="001613E2">
        <w:rPr>
          <w:rFonts w:ascii="Arial" w:hAnsi="Arial" w:cs="Arial"/>
          <w:sz w:val="24"/>
          <w:szCs w:val="24"/>
          <w:u w:val="single"/>
        </w:rPr>
        <w:t>Iowa DOT________________</w:t>
      </w:r>
      <w:r w:rsidR="00FF32BE" w:rsidRPr="001613E2">
        <w:rPr>
          <w:rFonts w:ascii="Arial" w:hAnsi="Arial" w:cs="Arial"/>
          <w:sz w:val="24"/>
          <w:szCs w:val="24"/>
          <w:u w:val="single"/>
        </w:rPr>
        <w:t>__</w:t>
      </w:r>
      <w:r w:rsidRPr="001613E2">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7C2B8C" w:rsidRDefault="007C2B8C" w:rsidP="00551D8A">
            <w:pPr>
              <w:ind w:right="-720"/>
              <w:rPr>
                <w:rFonts w:ascii="Arial" w:hAnsi="Arial" w:cs="Arial"/>
                <w:i/>
                <w:sz w:val="20"/>
                <w:szCs w:val="20"/>
              </w:rPr>
            </w:pPr>
          </w:p>
          <w:p w:rsidR="00872F18" w:rsidRPr="007C2B8C" w:rsidRDefault="001613E2" w:rsidP="007C2B8C">
            <w:pPr>
              <w:ind w:left="720" w:right="-720"/>
              <w:rPr>
                <w:rFonts w:ascii="Arial" w:hAnsi="Arial" w:cs="Arial"/>
                <w:b/>
                <w:i/>
                <w:sz w:val="20"/>
                <w:szCs w:val="20"/>
              </w:rPr>
            </w:pPr>
            <w:r w:rsidRPr="007C2B8C">
              <w:rPr>
                <w:rFonts w:ascii="Arial" w:hAnsi="Arial" w:cs="Arial"/>
                <w:b/>
                <w:i/>
                <w:sz w:val="20"/>
                <w:szCs w:val="20"/>
              </w:rPr>
              <w:t>TPF-5(</w:t>
            </w:r>
            <w:r w:rsidR="009F50A2" w:rsidRPr="007C2B8C">
              <w:rPr>
                <w:rFonts w:ascii="Arial" w:hAnsi="Arial" w:cs="Arial"/>
                <w:b/>
                <w:i/>
                <w:sz w:val="20"/>
                <w:szCs w:val="20"/>
              </w:rPr>
              <w:t>303)</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50A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1613E2">
              <w:rPr>
                <w:rFonts w:ascii="Arial" w:hAnsi="Arial" w:cs="Arial"/>
                <w:sz w:val="20"/>
                <w:szCs w:val="20"/>
              </w:rPr>
              <w:t>, 2014</w:t>
            </w:r>
            <w:r w:rsidR="00551D8A">
              <w:rPr>
                <w:rFonts w:ascii="Arial" w:hAnsi="Arial" w:cs="Arial"/>
                <w:sz w:val="20"/>
                <w:szCs w:val="20"/>
              </w:rPr>
              <w:t>)</w:t>
            </w:r>
          </w:p>
          <w:p w:rsidR="00551D8A" w:rsidRDefault="007C2B8C" w:rsidP="00037FBC">
            <w:pPr>
              <w:ind w:right="-720"/>
              <w:rPr>
                <w:rFonts w:ascii="Arial" w:hAnsi="Arial" w:cs="Arial"/>
                <w:sz w:val="20"/>
                <w:szCs w:val="20"/>
              </w:rPr>
            </w:pPr>
            <w:r w:rsidRPr="00551D8A">
              <w:rPr>
                <w:rFonts w:ascii="Arial" w:hAnsi="Arial" w:cs="Arial"/>
                <w:sz w:val="36"/>
                <w:szCs w:val="36"/>
              </w:rPr>
              <w:t>□</w:t>
            </w:r>
            <w:r w:rsidR="009F50A2">
              <w:rPr>
                <w:rFonts w:ascii="Arial" w:hAnsi="Arial" w:cs="Arial"/>
                <w:sz w:val="20"/>
                <w:szCs w:val="20"/>
              </w:rPr>
              <w:t>Quarter 2 (April 1 – June 30, 2014)</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7C2B8C"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9F50A2" w:rsidRDefault="00743C01" w:rsidP="00551D8A">
            <w:pPr>
              <w:ind w:right="-720"/>
              <w:rPr>
                <w:rFonts w:ascii="Arial" w:hAnsi="Arial" w:cs="Arial"/>
                <w:b/>
                <w:sz w:val="20"/>
                <w:szCs w:val="20"/>
              </w:rPr>
            </w:pPr>
            <w:r w:rsidRPr="00C13753">
              <w:rPr>
                <w:rFonts w:ascii="Arial" w:hAnsi="Arial" w:cs="Arial"/>
                <w:b/>
                <w:sz w:val="20"/>
                <w:szCs w:val="20"/>
              </w:rPr>
              <w:t>Project Title:</w:t>
            </w:r>
            <w:r w:rsidR="001613E2">
              <w:rPr>
                <w:rFonts w:ascii="Arial" w:hAnsi="Arial" w:cs="Arial"/>
                <w:b/>
                <w:sz w:val="20"/>
                <w:szCs w:val="20"/>
              </w:rPr>
              <w:t xml:space="preserve">  </w:t>
            </w:r>
          </w:p>
          <w:p w:rsidR="007C2B8C" w:rsidRDefault="009F50A2" w:rsidP="007C2B8C">
            <w:pPr>
              <w:ind w:left="720" w:right="-720"/>
              <w:rPr>
                <w:rFonts w:ascii="Verdana" w:hAnsi="Verdana"/>
                <w:b/>
                <w:color w:val="333333"/>
                <w:sz w:val="20"/>
                <w:szCs w:val="20"/>
              </w:rPr>
            </w:pPr>
            <w:r w:rsidRPr="007C2B8C">
              <w:rPr>
                <w:rFonts w:ascii="Verdana" w:hAnsi="Verdana"/>
                <w:b/>
                <w:color w:val="333333"/>
                <w:sz w:val="20"/>
                <w:szCs w:val="20"/>
              </w:rPr>
              <w:t xml:space="preserve">2015 Performance Measures Technical Transfer Conference and Asset Management </w:t>
            </w:r>
          </w:p>
          <w:p w:rsidR="00535598" w:rsidRPr="007C2B8C" w:rsidRDefault="009F50A2" w:rsidP="007C2B8C">
            <w:pPr>
              <w:ind w:left="720" w:right="-720"/>
              <w:rPr>
                <w:rFonts w:ascii="Arial" w:hAnsi="Arial" w:cs="Arial"/>
                <w:b/>
                <w:sz w:val="20"/>
                <w:szCs w:val="20"/>
              </w:rPr>
            </w:pPr>
            <w:r w:rsidRPr="007C2B8C">
              <w:rPr>
                <w:rFonts w:ascii="Verdana" w:hAnsi="Verdana"/>
                <w:b/>
                <w:color w:val="333333"/>
                <w:sz w:val="20"/>
                <w:szCs w:val="20"/>
              </w:rPr>
              <w:t>Peer Exchange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9F50A2" w:rsidRPr="009F50A2" w:rsidRDefault="00535598" w:rsidP="009F50A2">
            <w:pPr>
              <w:ind w:right="-720"/>
              <w:rPr>
                <w:rFonts w:ascii="Arial" w:hAnsi="Arial" w:cs="Arial"/>
                <w:b/>
                <w:sz w:val="20"/>
                <w:szCs w:val="20"/>
              </w:rPr>
            </w:pPr>
            <w:r>
              <w:rPr>
                <w:rFonts w:ascii="Arial" w:hAnsi="Arial" w:cs="Arial"/>
                <w:b/>
                <w:sz w:val="20"/>
                <w:szCs w:val="20"/>
              </w:rPr>
              <w:t>Name of Project Manager(s):</w:t>
            </w:r>
          </w:p>
          <w:tbl>
            <w:tblPr>
              <w:tblW w:w="0" w:type="auto"/>
              <w:tblBorders>
                <w:top w:val="nil"/>
                <w:left w:val="nil"/>
                <w:bottom w:val="nil"/>
                <w:right w:val="nil"/>
              </w:tblBorders>
              <w:tblLook w:val="0000" w:firstRow="0" w:lastRow="0" w:firstColumn="0" w:lastColumn="0" w:noHBand="0" w:noVBand="0"/>
            </w:tblPr>
            <w:tblGrid>
              <w:gridCol w:w="2840"/>
            </w:tblGrid>
            <w:tr w:rsidR="009F50A2">
              <w:trPr>
                <w:trHeight w:val="207"/>
              </w:trPr>
              <w:tc>
                <w:tcPr>
                  <w:tcW w:w="0" w:type="auto"/>
                </w:tcPr>
                <w:p w:rsidR="009F50A2" w:rsidRDefault="009F50A2">
                  <w:pPr>
                    <w:pStyle w:val="Default"/>
                    <w:rPr>
                      <w:sz w:val="20"/>
                      <w:szCs w:val="20"/>
                    </w:rPr>
                  </w:pPr>
                  <w:r>
                    <w:rPr>
                      <w:sz w:val="20"/>
                      <w:szCs w:val="20"/>
                    </w:rPr>
                    <w:t xml:space="preserve">Matthew Haubrich, Iowa DOT </w:t>
                  </w:r>
                </w:p>
                <w:p w:rsidR="009F50A2" w:rsidRDefault="009F50A2">
                  <w:pPr>
                    <w:pStyle w:val="Default"/>
                    <w:rPr>
                      <w:sz w:val="20"/>
                      <w:szCs w:val="20"/>
                    </w:rPr>
                  </w:pPr>
                  <w:r>
                    <w:rPr>
                      <w:sz w:val="20"/>
                      <w:szCs w:val="20"/>
                    </w:rPr>
                    <w:t xml:space="preserve">Tom Palmerlee, TRB </w:t>
                  </w:r>
                </w:p>
              </w:tc>
            </w:tr>
          </w:tbl>
          <w:p w:rsidR="001613E2" w:rsidRPr="001613E2" w:rsidRDefault="001613E2" w:rsidP="00551D8A">
            <w:pPr>
              <w:ind w:right="-720"/>
              <w:rPr>
                <w:rFonts w:ascii="Arial" w:hAnsi="Arial" w:cs="Arial"/>
                <w:sz w:val="20"/>
                <w:szCs w:val="20"/>
              </w:rPr>
            </w:pPr>
          </w:p>
        </w:tc>
        <w:tc>
          <w:tcPr>
            <w:tcW w:w="3330" w:type="dxa"/>
            <w:gridSpan w:val="2"/>
          </w:tcPr>
          <w:p w:rsidR="009F50A2" w:rsidRPr="009F50A2" w:rsidRDefault="00535598" w:rsidP="009F50A2">
            <w:pPr>
              <w:ind w:right="-720"/>
              <w:rPr>
                <w:rFonts w:ascii="Arial" w:hAnsi="Arial" w:cs="Arial"/>
                <w:b/>
                <w:sz w:val="20"/>
                <w:szCs w:val="20"/>
              </w:rPr>
            </w:pPr>
            <w:r>
              <w:rPr>
                <w:rFonts w:ascii="Arial" w:hAnsi="Arial" w:cs="Arial"/>
                <w:b/>
                <w:sz w:val="20"/>
                <w:szCs w:val="20"/>
              </w:rPr>
              <w:t>Phone Number:</w:t>
            </w:r>
          </w:p>
          <w:tbl>
            <w:tblPr>
              <w:tblW w:w="0" w:type="auto"/>
              <w:tblBorders>
                <w:top w:val="nil"/>
                <w:left w:val="nil"/>
                <w:bottom w:val="nil"/>
                <w:right w:val="nil"/>
              </w:tblBorders>
              <w:tblLook w:val="0000" w:firstRow="0" w:lastRow="0" w:firstColumn="0" w:lastColumn="0" w:noHBand="0" w:noVBand="0"/>
            </w:tblPr>
            <w:tblGrid>
              <w:gridCol w:w="1584"/>
            </w:tblGrid>
            <w:tr w:rsidR="009F50A2">
              <w:trPr>
                <w:trHeight w:val="207"/>
              </w:trPr>
              <w:tc>
                <w:tcPr>
                  <w:tcW w:w="0" w:type="auto"/>
                </w:tcPr>
                <w:p w:rsidR="009F50A2" w:rsidRDefault="009F50A2">
                  <w:pPr>
                    <w:pStyle w:val="Default"/>
                    <w:rPr>
                      <w:sz w:val="20"/>
                      <w:szCs w:val="20"/>
                    </w:rPr>
                  </w:pPr>
                  <w:r>
                    <w:rPr>
                      <w:sz w:val="20"/>
                      <w:szCs w:val="20"/>
                    </w:rPr>
                    <w:t xml:space="preserve">(515) 233-7902 </w:t>
                  </w:r>
                </w:p>
                <w:p w:rsidR="009F50A2" w:rsidRDefault="009F50A2">
                  <w:pPr>
                    <w:pStyle w:val="Default"/>
                    <w:rPr>
                      <w:sz w:val="20"/>
                      <w:szCs w:val="20"/>
                    </w:rPr>
                  </w:pPr>
                  <w:r>
                    <w:rPr>
                      <w:sz w:val="20"/>
                      <w:szCs w:val="20"/>
                    </w:rPr>
                    <w:t xml:space="preserve">(202) 334-2907 </w:t>
                  </w:r>
                </w:p>
              </w:tc>
            </w:tr>
          </w:tbl>
          <w:p w:rsidR="001613E2" w:rsidRPr="001613E2" w:rsidRDefault="001613E2" w:rsidP="00551D8A">
            <w:pPr>
              <w:ind w:right="-720"/>
              <w:rPr>
                <w:rFonts w:ascii="Arial" w:hAnsi="Arial" w:cs="Arial"/>
                <w:sz w:val="20"/>
                <w:szCs w:val="20"/>
              </w:rPr>
            </w:pPr>
          </w:p>
        </w:tc>
        <w:tc>
          <w:tcPr>
            <w:tcW w:w="3420" w:type="dxa"/>
          </w:tcPr>
          <w:p w:rsidR="009F50A2" w:rsidRDefault="00535598" w:rsidP="009F50A2">
            <w:pPr>
              <w:pStyle w:val="Default"/>
            </w:pPr>
            <w:r>
              <w:rPr>
                <w:b/>
                <w:sz w:val="20"/>
                <w:szCs w:val="20"/>
              </w:rPr>
              <w:t>E-Mail</w:t>
            </w:r>
            <w:r w:rsidR="009F50A2">
              <w:t xml:space="preserve"> </w:t>
            </w:r>
          </w:p>
          <w:tbl>
            <w:tblPr>
              <w:tblW w:w="0" w:type="auto"/>
              <w:tblBorders>
                <w:top w:val="nil"/>
                <w:left w:val="nil"/>
                <w:bottom w:val="nil"/>
                <w:right w:val="nil"/>
              </w:tblBorders>
              <w:tblLook w:val="0000" w:firstRow="0" w:lastRow="0" w:firstColumn="0" w:lastColumn="0" w:noHBand="0" w:noVBand="0"/>
            </w:tblPr>
            <w:tblGrid>
              <w:gridCol w:w="3154"/>
            </w:tblGrid>
            <w:tr w:rsidR="009F50A2">
              <w:trPr>
                <w:trHeight w:val="207"/>
              </w:trPr>
              <w:tc>
                <w:tcPr>
                  <w:tcW w:w="0" w:type="auto"/>
                </w:tcPr>
                <w:p w:rsidR="009F50A2" w:rsidRDefault="009F50A2">
                  <w:pPr>
                    <w:pStyle w:val="Default"/>
                    <w:rPr>
                      <w:sz w:val="20"/>
                      <w:szCs w:val="20"/>
                    </w:rPr>
                  </w:pPr>
                  <w:r>
                    <w:rPr>
                      <w:sz w:val="20"/>
                      <w:szCs w:val="20"/>
                    </w:rPr>
                    <w:t xml:space="preserve">Matthew.Haubrich@dot.iowa.gov </w:t>
                  </w:r>
                </w:p>
                <w:p w:rsidR="009F50A2" w:rsidRDefault="009F50A2">
                  <w:pPr>
                    <w:pStyle w:val="Default"/>
                    <w:rPr>
                      <w:sz w:val="20"/>
                      <w:szCs w:val="20"/>
                    </w:rPr>
                  </w:pPr>
                  <w:r>
                    <w:rPr>
                      <w:sz w:val="20"/>
                      <w:szCs w:val="20"/>
                    </w:rPr>
                    <w:t xml:space="preserve">TPalmerlee@nas.edu </w:t>
                  </w:r>
                </w:p>
                <w:p w:rsidR="009F50A2" w:rsidRDefault="009F50A2">
                  <w:pPr>
                    <w:pStyle w:val="Default"/>
                    <w:rPr>
                      <w:sz w:val="20"/>
                      <w:szCs w:val="20"/>
                    </w:rPr>
                  </w:pPr>
                </w:p>
              </w:tc>
            </w:tr>
          </w:tbl>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1613E2"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F50A2" w:rsidRPr="009F50A2" w:rsidRDefault="009F50A2" w:rsidP="0003476C">
            <w:pPr>
              <w:ind w:right="-720"/>
              <w:rPr>
                <w:rFonts w:ascii="Arial" w:hAnsi="Arial" w:cs="Arial"/>
                <w:sz w:val="20"/>
                <w:szCs w:val="20"/>
              </w:rPr>
            </w:pPr>
            <w:r>
              <w:rPr>
                <w:rFonts w:ascii="Arial" w:hAnsi="Arial" w:cs="Arial"/>
                <w:sz w:val="20"/>
                <w:szCs w:val="20"/>
              </w:rPr>
              <w:t>TPF-5(303)</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1613E2" w:rsidRPr="001613E2" w:rsidRDefault="007C2B8C" w:rsidP="0003476C">
            <w:pPr>
              <w:ind w:right="-720"/>
              <w:rPr>
                <w:rFonts w:ascii="Arial" w:hAnsi="Arial" w:cs="Arial"/>
                <w:sz w:val="20"/>
                <w:szCs w:val="20"/>
              </w:rPr>
            </w:pPr>
            <w:r>
              <w:rPr>
                <w:rFonts w:ascii="Arial" w:hAnsi="Arial" w:cs="Arial"/>
                <w:sz w:val="20"/>
                <w:szCs w:val="20"/>
              </w:rPr>
              <w:t>Iowa DOT Contract 16641</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C2B8C" w:rsidP="007C2B8C">
            <w:pPr>
              <w:ind w:right="-720"/>
              <w:rPr>
                <w:rFonts w:ascii="Arial" w:hAnsi="Arial" w:cs="Arial"/>
                <w:sz w:val="20"/>
                <w:szCs w:val="20"/>
              </w:rPr>
            </w:pPr>
            <w:r>
              <w:rPr>
                <w:rFonts w:ascii="Arial" w:hAnsi="Arial" w:cs="Arial"/>
                <w:sz w:val="20"/>
                <w:szCs w:val="20"/>
              </w:rPr>
              <w:t>August 11, 2014</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1613E2" w:rsidRPr="001613E2" w:rsidRDefault="009F50A2" w:rsidP="0003476C">
            <w:pPr>
              <w:ind w:right="-720"/>
              <w:rPr>
                <w:rFonts w:ascii="Arial" w:hAnsi="Arial" w:cs="Arial"/>
                <w:sz w:val="20"/>
                <w:szCs w:val="20"/>
              </w:rPr>
            </w:pPr>
            <w:r w:rsidRPr="001613E2">
              <w:rPr>
                <w:rFonts w:ascii="Arial" w:hAnsi="Arial" w:cs="Arial"/>
                <w:sz w:val="20"/>
                <w:szCs w:val="20"/>
              </w:rPr>
              <w:t>June 30, 201</w:t>
            </w:r>
            <w:r>
              <w:rPr>
                <w:rFonts w:ascii="Arial" w:hAnsi="Arial" w:cs="Arial"/>
                <w:sz w:val="20"/>
                <w:szCs w:val="20"/>
              </w:rPr>
              <w:t>6</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1613E2" w:rsidRPr="001613E2" w:rsidRDefault="001613E2" w:rsidP="009F50A2">
            <w:pPr>
              <w:ind w:right="-720"/>
              <w:rPr>
                <w:rFonts w:ascii="Arial" w:hAnsi="Arial" w:cs="Arial"/>
                <w:sz w:val="20"/>
                <w:szCs w:val="20"/>
              </w:rPr>
            </w:pPr>
            <w:r w:rsidRPr="001613E2">
              <w:rPr>
                <w:rFonts w:ascii="Arial" w:hAnsi="Arial" w:cs="Arial"/>
                <w:sz w:val="20"/>
                <w:szCs w:val="20"/>
              </w:rPr>
              <w:t>June 30, 201</w:t>
            </w:r>
            <w:r w:rsidR="009F50A2">
              <w:rPr>
                <w:rFonts w:ascii="Arial" w:hAnsi="Arial" w:cs="Arial"/>
                <w:sz w:val="20"/>
                <w:szCs w:val="20"/>
              </w:rPr>
              <w:t>6</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1613E2"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613E2" w:rsidP="00551D8A">
      <w:pPr>
        <w:spacing w:after="0"/>
        <w:ind w:left="-720" w:right="-720"/>
        <w:rPr>
          <w:rFonts w:ascii="Arial" w:hAnsi="Arial" w:cs="Arial"/>
          <w:sz w:val="20"/>
          <w:szCs w:val="20"/>
        </w:rPr>
      </w:pPr>
      <w:r w:rsidRPr="001613E2">
        <w:rPr>
          <w:rFonts w:ascii="Arial" w:hAnsi="Arial" w:cs="Arial"/>
          <w:sz w:val="24"/>
          <w:szCs w:val="24"/>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9F50A2">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613E2" w:rsidP="009F50A2">
            <w:pPr>
              <w:ind w:right="-720"/>
              <w:rPr>
                <w:rFonts w:ascii="Arial" w:hAnsi="Arial" w:cs="Arial"/>
                <w:sz w:val="20"/>
                <w:szCs w:val="20"/>
              </w:rPr>
            </w:pPr>
            <w:r>
              <w:rPr>
                <w:rFonts w:ascii="Arial" w:hAnsi="Arial" w:cs="Arial"/>
                <w:sz w:val="20"/>
                <w:szCs w:val="20"/>
              </w:rPr>
              <w:t>$</w:t>
            </w:r>
            <w:r w:rsidR="006655DD">
              <w:rPr>
                <w:rFonts w:ascii="Arial" w:hAnsi="Arial" w:cs="Arial"/>
                <w:sz w:val="20"/>
                <w:szCs w:val="20"/>
              </w:rPr>
              <w:t>288</w:t>
            </w:r>
            <w:r w:rsidR="002E05BD">
              <w:rPr>
                <w:rFonts w:ascii="Arial" w:hAnsi="Arial" w:cs="Arial"/>
                <w:sz w:val="20"/>
                <w:szCs w:val="20"/>
              </w:rPr>
              <w:t>,000</w:t>
            </w:r>
            <w:r w:rsidR="00C17311">
              <w:rPr>
                <w:rFonts w:ascii="Arial" w:hAnsi="Arial" w:cs="Arial"/>
                <w:sz w:val="20"/>
                <w:szCs w:val="20"/>
              </w:rPr>
              <w:t xml:space="preserve"> committed</w:t>
            </w:r>
          </w:p>
        </w:tc>
        <w:tc>
          <w:tcPr>
            <w:tcW w:w="3330" w:type="dxa"/>
          </w:tcPr>
          <w:p w:rsidR="00874EF7" w:rsidRPr="00B66A21" w:rsidRDefault="00FC7A08" w:rsidP="002E05BD">
            <w:pPr>
              <w:tabs>
                <w:tab w:val="center" w:pos="1917"/>
              </w:tabs>
              <w:ind w:right="-720"/>
              <w:rPr>
                <w:rFonts w:ascii="Arial" w:hAnsi="Arial" w:cs="Arial"/>
                <w:sz w:val="20"/>
                <w:szCs w:val="20"/>
              </w:rPr>
            </w:pPr>
            <w:r>
              <w:rPr>
                <w:rFonts w:ascii="Arial" w:hAnsi="Arial" w:cs="Arial"/>
                <w:sz w:val="20"/>
                <w:szCs w:val="20"/>
              </w:rPr>
              <w:t>$11,837</w:t>
            </w:r>
          </w:p>
        </w:tc>
        <w:tc>
          <w:tcPr>
            <w:tcW w:w="3420" w:type="dxa"/>
          </w:tcPr>
          <w:p w:rsidR="00874EF7" w:rsidRPr="00B66A21" w:rsidRDefault="00FC7A08" w:rsidP="00551D8A">
            <w:pPr>
              <w:ind w:right="-720"/>
              <w:rPr>
                <w:rFonts w:ascii="Arial" w:hAnsi="Arial" w:cs="Arial"/>
                <w:sz w:val="20"/>
                <w:szCs w:val="20"/>
              </w:rPr>
            </w:pPr>
            <w:r>
              <w:rPr>
                <w:rFonts w:ascii="Arial" w:hAnsi="Arial" w:cs="Arial"/>
                <w:sz w:val="20"/>
                <w:szCs w:val="20"/>
              </w:rPr>
              <w:t>10%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9F50A2">
            <w:pPr>
              <w:ind w:right="-720"/>
              <w:rPr>
                <w:rFonts w:ascii="Arial" w:hAnsi="Arial" w:cs="Arial"/>
                <w:sz w:val="20"/>
                <w:szCs w:val="20"/>
              </w:rPr>
            </w:pPr>
          </w:p>
        </w:tc>
        <w:tc>
          <w:tcPr>
            <w:tcW w:w="3330" w:type="dxa"/>
          </w:tcPr>
          <w:p w:rsidR="00B66A21" w:rsidRPr="00B66A21" w:rsidRDefault="006655DD" w:rsidP="00874EF7">
            <w:pPr>
              <w:ind w:right="-720"/>
              <w:rPr>
                <w:rFonts w:ascii="Arial" w:hAnsi="Arial" w:cs="Arial"/>
                <w:sz w:val="20"/>
                <w:szCs w:val="20"/>
              </w:rPr>
            </w:pPr>
            <w:r>
              <w:rPr>
                <w:rFonts w:ascii="Arial" w:hAnsi="Arial" w:cs="Arial"/>
                <w:sz w:val="20"/>
                <w:szCs w:val="20"/>
              </w:rPr>
              <w:t>$11,837</w:t>
            </w:r>
          </w:p>
        </w:tc>
        <w:tc>
          <w:tcPr>
            <w:tcW w:w="3420" w:type="dxa"/>
          </w:tcPr>
          <w:p w:rsidR="00B66A21" w:rsidRDefault="00B66A21" w:rsidP="009F50A2">
            <w:pPr>
              <w:ind w:right="-720"/>
              <w:rPr>
                <w:rFonts w:ascii="Arial" w:hAnsi="Arial" w:cs="Arial"/>
                <w:sz w:val="20"/>
                <w:szCs w:val="20"/>
              </w:rPr>
            </w:pPr>
          </w:p>
          <w:p w:rsidR="009F50A2" w:rsidRPr="00B66A21" w:rsidRDefault="009F50A2" w:rsidP="009F50A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2E05BD" w:rsidRDefault="002E05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2E05BD" w:rsidRPr="002E05BD" w:rsidTr="00723245">
              <w:trPr>
                <w:tblCellSpacing w:w="15" w:type="dxa"/>
              </w:trPr>
              <w:tc>
                <w:tcPr>
                  <w:tcW w:w="0" w:type="auto"/>
                  <w:tcBorders>
                    <w:top w:val="nil"/>
                    <w:left w:val="nil"/>
                    <w:bottom w:val="nil"/>
                    <w:right w:val="nil"/>
                  </w:tcBorders>
                  <w:tcMar>
                    <w:top w:w="30" w:type="dxa"/>
                    <w:left w:w="75" w:type="dxa"/>
                    <w:bottom w:w="30" w:type="dxa"/>
                    <w:right w:w="75" w:type="dxa"/>
                  </w:tcMar>
                  <w:hideMark/>
                </w:tcPr>
                <w:p w:rsidR="002E05BD" w:rsidRPr="002E05BD" w:rsidRDefault="002E05BD" w:rsidP="002E05BD">
                  <w:pPr>
                    <w:spacing w:after="0" w:line="240" w:lineRule="auto"/>
                    <w:ind w:right="-720"/>
                    <w:rPr>
                      <w:rFonts w:ascii="Arial" w:hAnsi="Arial" w:cs="Arial"/>
                      <w:sz w:val="20"/>
                      <w:szCs w:val="20"/>
                    </w:rPr>
                  </w:pPr>
                  <w:r w:rsidRPr="002E05BD">
                    <w:rPr>
                      <w:rFonts w:ascii="Arial" w:hAnsi="Arial" w:cs="Arial"/>
                      <w:b/>
                      <w:sz w:val="20"/>
                      <w:szCs w:val="20"/>
                    </w:rPr>
                    <w:t>Background</w:t>
                  </w:r>
                  <w:proofErr w:type="gramStart"/>
                  <w:r w:rsidRPr="002E05BD">
                    <w:rPr>
                      <w:rFonts w:ascii="Arial" w:hAnsi="Arial" w:cs="Arial"/>
                      <w:b/>
                      <w:sz w:val="20"/>
                      <w:szCs w:val="20"/>
                    </w:rPr>
                    <w:t>:</w:t>
                  </w:r>
                  <w:proofErr w:type="gramEnd"/>
                  <w:r w:rsidRPr="002E05BD">
                    <w:rPr>
                      <w:rFonts w:ascii="Arial" w:hAnsi="Arial" w:cs="Arial"/>
                      <w:b/>
                      <w:sz w:val="20"/>
                      <w:szCs w:val="20"/>
                    </w:rPr>
                    <w:br/>
                  </w:r>
                  <w:r w:rsidRPr="002E05BD">
                    <w:rPr>
                      <w:rFonts w:ascii="Arial" w:hAnsi="Arial" w:cs="Arial"/>
                      <w:sz w:val="20"/>
                      <w:szCs w:val="20"/>
                    </w:rPr>
                    <w:t xml:space="preserve">Section 1203 of the MAP-21 stipulates USDOT to promulgate performance measures in the areas of the National Highway Performance Program (NHPP), Highway Safety Improvement Program (HSIP), the Congestion Mitigation and Air Quality Improvement Program (CMAQ), and the National Freight Movement (Freight) within 18 months after the date of enactment of the MAP-21. State DOTs are tasked with developing performance measures plans, which include asset management plans. The focus of this pooled fund project will be in the area of the NHPP. </w:t>
                  </w:r>
                </w:p>
              </w:tc>
            </w:tr>
            <w:tr w:rsidR="002E05BD" w:rsidRPr="002E05BD" w:rsidTr="00723245">
              <w:trPr>
                <w:tblCellSpacing w:w="15" w:type="dxa"/>
              </w:trPr>
              <w:tc>
                <w:tcPr>
                  <w:tcW w:w="0" w:type="auto"/>
                  <w:tcBorders>
                    <w:top w:val="nil"/>
                    <w:left w:val="nil"/>
                    <w:bottom w:val="nil"/>
                    <w:right w:val="nil"/>
                  </w:tcBorders>
                  <w:tcMar>
                    <w:top w:w="30" w:type="dxa"/>
                    <w:left w:w="75" w:type="dxa"/>
                    <w:bottom w:w="30" w:type="dxa"/>
                    <w:right w:w="75" w:type="dxa"/>
                  </w:tcMar>
                  <w:hideMark/>
                </w:tcPr>
                <w:p w:rsidR="002E05BD" w:rsidRDefault="002E05BD" w:rsidP="002E05BD">
                  <w:pPr>
                    <w:spacing w:after="0" w:line="240" w:lineRule="auto"/>
                    <w:ind w:right="-720"/>
                    <w:rPr>
                      <w:rFonts w:ascii="Arial" w:hAnsi="Arial" w:cs="Arial"/>
                      <w:sz w:val="20"/>
                      <w:szCs w:val="20"/>
                    </w:rPr>
                  </w:pPr>
                  <w:r w:rsidRPr="002E05BD">
                    <w:rPr>
                      <w:rFonts w:ascii="Arial" w:hAnsi="Arial" w:cs="Arial"/>
                      <w:b/>
                      <w:sz w:val="20"/>
                      <w:szCs w:val="20"/>
                    </w:rPr>
                    <w:t>Objectives</w:t>
                  </w:r>
                  <w:proofErr w:type="gramStart"/>
                  <w:r w:rsidRPr="002E05BD">
                    <w:rPr>
                      <w:rFonts w:ascii="Arial" w:hAnsi="Arial" w:cs="Arial"/>
                      <w:b/>
                      <w:sz w:val="20"/>
                      <w:szCs w:val="20"/>
                    </w:rPr>
                    <w:t>:</w:t>
                  </w:r>
                  <w:proofErr w:type="gramEnd"/>
                  <w:r w:rsidRPr="002E05BD">
                    <w:rPr>
                      <w:rFonts w:ascii="Arial" w:hAnsi="Arial" w:cs="Arial"/>
                      <w:b/>
                      <w:sz w:val="20"/>
                      <w:szCs w:val="20"/>
                    </w:rPr>
                    <w:br/>
                  </w:r>
                  <w:r w:rsidRPr="002E05BD">
                    <w:rPr>
                      <w:rFonts w:ascii="Arial" w:hAnsi="Arial" w:cs="Arial"/>
                      <w:sz w:val="20"/>
                      <w:szCs w:val="20"/>
                    </w:rPr>
                    <w:t xml:space="preserve">The focus of this pooled fund project will be in the area of NHPP. The primary activities of this pooled fund project are technology exchange, information sharing, and the facilitation of partnering relationships among state agencies, AASHTO, FHWA and other appropriate associates. Specifically this pooled fund will: </w:t>
                  </w:r>
                  <w:r w:rsidRPr="002E05BD">
                    <w:rPr>
                      <w:rFonts w:ascii="Arial" w:hAnsi="Arial" w:cs="Arial"/>
                      <w:sz w:val="20"/>
                      <w:szCs w:val="20"/>
                    </w:rPr>
                    <w:br/>
                  </w:r>
                  <w:r w:rsidRPr="002E05BD">
                    <w:rPr>
                      <w:rFonts w:ascii="Arial" w:hAnsi="Arial" w:cs="Arial"/>
                      <w:sz w:val="20"/>
                      <w:szCs w:val="20"/>
                    </w:rPr>
                    <w:br/>
                    <w:t xml:space="preserve">1. Provide communication and information sharing among member states. Discuss research, development and technology transfer needs in the areas of performance measures and asset management and provide research ideas to TRB in connection with the 2015 PM&amp;AM. </w:t>
                  </w:r>
                  <w:r w:rsidRPr="002E05BD">
                    <w:rPr>
                      <w:rFonts w:ascii="Arial" w:hAnsi="Arial" w:cs="Arial"/>
                      <w:sz w:val="20"/>
                      <w:szCs w:val="20"/>
                    </w:rPr>
                    <w:br/>
                  </w:r>
                  <w:r w:rsidRPr="002E05BD">
                    <w:rPr>
                      <w:rFonts w:ascii="Arial" w:hAnsi="Arial" w:cs="Arial"/>
                      <w:sz w:val="20"/>
                      <w:szCs w:val="20"/>
                    </w:rPr>
                    <w:br/>
                    <w:t xml:space="preserve">2. Performance Measures Conference (Conference): Provide a technology and knowledge exchange forum to enhance the practical knowledge of conference participants concerning performance measures with a focus on development and refinement of State DOT performance measures plans. </w:t>
                  </w:r>
                  <w:r w:rsidRPr="002E05BD">
                    <w:rPr>
                      <w:rFonts w:ascii="Arial" w:hAnsi="Arial" w:cs="Arial"/>
                      <w:sz w:val="20"/>
                      <w:szCs w:val="20"/>
                    </w:rPr>
                    <w:br/>
                  </w:r>
                  <w:r w:rsidRPr="002E05BD">
                    <w:rPr>
                      <w:rFonts w:ascii="Arial" w:hAnsi="Arial" w:cs="Arial"/>
                      <w:sz w:val="20"/>
                      <w:szCs w:val="20"/>
                    </w:rPr>
                    <w:br/>
                    <w:t xml:space="preserve">3. 1 Day State DOT Meeting on Asset Management: Provide a technology and knowledge exchange forum focused on the development and refinement of asset management processes for state DOTs. </w:t>
                  </w:r>
                  <w:r w:rsidRPr="002E05BD">
                    <w:rPr>
                      <w:rFonts w:ascii="Arial" w:hAnsi="Arial" w:cs="Arial"/>
                      <w:sz w:val="20"/>
                      <w:szCs w:val="20"/>
                    </w:rPr>
                    <w:br/>
                  </w:r>
                  <w:r w:rsidRPr="002E05BD">
                    <w:rPr>
                      <w:rFonts w:ascii="Arial" w:hAnsi="Arial" w:cs="Arial"/>
                      <w:sz w:val="20"/>
                      <w:szCs w:val="20"/>
                    </w:rPr>
                    <w:br/>
                    <w:t xml:space="preserve">4. Enhance the working knowledge of the performance measures and asset management communities. </w:t>
                  </w:r>
                </w:p>
                <w:p w:rsidR="002E05BD" w:rsidRDefault="002E05BD" w:rsidP="002E05BD">
                  <w:pPr>
                    <w:spacing w:after="0" w:line="240" w:lineRule="auto"/>
                    <w:ind w:right="-720"/>
                    <w:rPr>
                      <w:rFonts w:ascii="Arial" w:hAnsi="Arial" w:cs="Arial"/>
                      <w:sz w:val="20"/>
                      <w:szCs w:val="20"/>
                    </w:rPr>
                  </w:pPr>
                </w:p>
                <w:p w:rsidR="00B958B5" w:rsidRDefault="00B958B5" w:rsidP="00723245">
                  <w:pPr>
                    <w:spacing w:after="0" w:line="240" w:lineRule="auto"/>
                    <w:ind w:right="-720"/>
                    <w:rPr>
                      <w:rFonts w:ascii="Arial" w:hAnsi="Arial" w:cs="Arial"/>
                      <w:b/>
                      <w:sz w:val="20"/>
                      <w:szCs w:val="20"/>
                    </w:rPr>
                  </w:pPr>
                </w:p>
                <w:p w:rsidR="002E05BD" w:rsidRPr="002E05BD" w:rsidRDefault="002E05BD" w:rsidP="00723245">
                  <w:pPr>
                    <w:spacing w:after="0" w:line="240" w:lineRule="auto"/>
                    <w:ind w:right="-720"/>
                    <w:rPr>
                      <w:rFonts w:ascii="Arial" w:hAnsi="Arial" w:cs="Arial"/>
                      <w:b/>
                      <w:sz w:val="20"/>
                      <w:szCs w:val="20"/>
                    </w:rPr>
                  </w:pPr>
                  <w:r w:rsidRPr="002E05BD">
                    <w:rPr>
                      <w:rFonts w:ascii="Arial" w:hAnsi="Arial" w:cs="Arial"/>
                      <w:b/>
                      <w:sz w:val="20"/>
                      <w:szCs w:val="20"/>
                    </w:rPr>
                    <w:t>Work Completed this Quarter:</w:t>
                  </w: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nil"/>
                          <w:right w:val="single" w:sz="8" w:space="0" w:color="auto"/>
                        </w:tcBorders>
                        <w:noWrap/>
                        <w:tcMar>
                          <w:top w:w="0" w:type="dxa"/>
                          <w:left w:w="108" w:type="dxa"/>
                          <w:bottom w:w="0" w:type="dxa"/>
                          <w:right w:w="108" w:type="dxa"/>
                        </w:tcMar>
                        <w:hideMark/>
                      </w:tcPr>
                      <w:p w:rsidR="00FC7A08" w:rsidRDefault="00FC7A08">
                        <w:pPr>
                          <w:rPr>
                            <w:rFonts w:ascii="Calibri" w:hAnsi="Calibri"/>
                            <w:color w:val="000000"/>
                          </w:rPr>
                        </w:pPr>
                        <w:r>
                          <w:rPr>
                            <w:color w:val="000000"/>
                          </w:rPr>
                          <w:t>October 2014</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color w:val="000000"/>
                          </w:rPr>
                        </w:pPr>
                        <w:r>
                          <w:rPr>
                            <w:color w:val="000000"/>
                          </w:rPr>
                          <w:t>Proposals Due</w:t>
                        </w:r>
                      </w:p>
                    </w:tc>
                  </w:tr>
                  <w:tr w:rsidR="00FC7A08" w:rsidTr="00FC7A08">
                    <w:trPr>
                      <w:trHeight w:val="288"/>
                    </w:trPr>
                    <w:tc>
                      <w:tcPr>
                        <w:tcW w:w="2240" w:type="dxa"/>
                        <w:tcBorders>
                          <w:top w:val="nil"/>
                          <w:left w:val="single" w:sz="8" w:space="0" w:color="auto"/>
                          <w:bottom w:val="nil"/>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color w:val="000000"/>
                          </w:rPr>
                        </w:pPr>
                        <w:r>
                          <w:rPr>
                            <w:color w:val="000000"/>
                          </w:rPr>
                          <w:t>Distribute Abstracts to Planning Committee</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color w:val="000000"/>
                          </w:rPr>
                        </w:pPr>
                        <w:r>
                          <w:rPr>
                            <w:color w:val="000000"/>
                          </w:rPr>
                          <w:t>Planning Team Call</w:t>
                        </w:r>
                      </w:p>
                    </w:tc>
                  </w:tr>
                </w:tbl>
                <w:p w:rsidR="00FC7A08" w:rsidRDefault="00FC7A08" w:rsidP="00FC7A08">
                  <w:pPr>
                    <w:ind w:left="360"/>
                    <w:rPr>
                      <w:rFonts w:ascii="Calibri" w:hAnsi="Calibri"/>
                    </w:rPr>
                  </w:pP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nil"/>
                          <w:right w:val="single" w:sz="8" w:space="0" w:color="auto"/>
                        </w:tcBorders>
                        <w:noWrap/>
                        <w:tcMar>
                          <w:top w:w="0" w:type="dxa"/>
                          <w:left w:w="108" w:type="dxa"/>
                          <w:bottom w:w="0" w:type="dxa"/>
                          <w:right w:w="108" w:type="dxa"/>
                        </w:tcMar>
                        <w:hideMark/>
                      </w:tcPr>
                      <w:p w:rsidR="00FC7A08" w:rsidRDefault="00FC7A08">
                        <w:pPr>
                          <w:rPr>
                            <w:rFonts w:ascii="Calibri" w:hAnsi="Calibri"/>
                            <w:color w:val="000000"/>
                          </w:rPr>
                        </w:pPr>
                        <w:r>
                          <w:rPr>
                            <w:color w:val="000000"/>
                          </w:rPr>
                          <w:t>November, 2014</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color w:val="000000"/>
                          </w:rPr>
                        </w:pPr>
                        <w:r>
                          <w:rPr>
                            <w:color w:val="000000"/>
                          </w:rPr>
                          <w:t>Planning Team Call</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color w:val="000000"/>
                          </w:rPr>
                        </w:pPr>
                        <w:r>
                          <w:rPr>
                            <w:color w:val="000000"/>
                          </w:rPr>
                          <w:t>Plenary Session Speakers Confirmed</w:t>
                        </w:r>
                      </w:p>
                    </w:tc>
                  </w:tr>
                </w:tbl>
                <w:p w:rsidR="00FC7A08" w:rsidRDefault="00FC7A08" w:rsidP="00FC7A08">
                  <w:pPr>
                    <w:ind w:left="360"/>
                    <w:rPr>
                      <w:rFonts w:ascii="Calibri" w:hAnsi="Calibri"/>
                    </w:rPr>
                  </w:pP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nil"/>
                          <w:right w:val="single" w:sz="8" w:space="0" w:color="auto"/>
                        </w:tcBorders>
                        <w:noWrap/>
                        <w:tcMar>
                          <w:top w:w="0" w:type="dxa"/>
                          <w:left w:w="108" w:type="dxa"/>
                          <w:bottom w:w="0" w:type="dxa"/>
                          <w:right w:w="108" w:type="dxa"/>
                        </w:tcMar>
                        <w:hideMark/>
                      </w:tcPr>
                      <w:p w:rsidR="00FC7A08" w:rsidRDefault="00FC7A08">
                        <w:pPr>
                          <w:autoSpaceDN w:val="0"/>
                          <w:rPr>
                            <w:rFonts w:ascii="Calibri" w:hAnsi="Calibri"/>
                            <w:color w:val="000000"/>
                          </w:rPr>
                        </w:pPr>
                        <w:r>
                          <w:rPr>
                            <w:color w:val="000000"/>
                          </w:rPr>
                          <w:t>December 2014</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Planning Team Call</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rPr>
                            <w:rFonts w:ascii="Times New Roman" w:eastAsia="Times New Roman" w:hAnsi="Times New Roman"/>
                            <w:sz w:val="20"/>
                            <w:szCs w:val="20"/>
                          </w:rPr>
                        </w:pP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Advance Program post on the web site</w:t>
                        </w:r>
                      </w:p>
                    </w:tc>
                  </w:tr>
                </w:tbl>
                <w:p w:rsidR="002E05BD" w:rsidRDefault="002E05BD" w:rsidP="002E05BD">
                  <w:pPr>
                    <w:spacing w:after="0" w:line="240" w:lineRule="auto"/>
                    <w:ind w:right="-720"/>
                    <w:rPr>
                      <w:rFonts w:ascii="Arial" w:hAnsi="Arial" w:cs="Arial"/>
                      <w:sz w:val="20"/>
                      <w:szCs w:val="20"/>
                    </w:rPr>
                  </w:pPr>
                </w:p>
                <w:p w:rsidR="00B958B5" w:rsidRDefault="00B958B5"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bookmarkStart w:id="0" w:name="_GoBack"/>
                  <w:bookmarkEnd w:id="0"/>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FC7A08" w:rsidRDefault="00FC7A08" w:rsidP="00723245">
                  <w:pPr>
                    <w:spacing w:after="0" w:line="240" w:lineRule="auto"/>
                    <w:ind w:right="-720"/>
                    <w:rPr>
                      <w:rFonts w:ascii="Arial" w:hAnsi="Arial" w:cs="Arial"/>
                      <w:b/>
                      <w:sz w:val="20"/>
                      <w:szCs w:val="20"/>
                    </w:rPr>
                  </w:pPr>
                </w:p>
                <w:p w:rsidR="002E05BD" w:rsidRPr="002E05BD" w:rsidRDefault="002E05BD" w:rsidP="00723245">
                  <w:pPr>
                    <w:spacing w:after="0" w:line="240" w:lineRule="auto"/>
                    <w:ind w:right="-720"/>
                    <w:rPr>
                      <w:rFonts w:ascii="Arial" w:hAnsi="Arial" w:cs="Arial"/>
                      <w:b/>
                      <w:sz w:val="20"/>
                      <w:szCs w:val="20"/>
                    </w:rPr>
                  </w:pPr>
                  <w:r w:rsidRPr="002E05BD">
                    <w:rPr>
                      <w:rFonts w:ascii="Arial" w:hAnsi="Arial" w:cs="Arial"/>
                      <w:b/>
                      <w:sz w:val="20"/>
                      <w:szCs w:val="20"/>
                    </w:rPr>
                    <w:t>Work Proposed next Quarter:</w:t>
                  </w:r>
                </w:p>
                <w:p w:rsidR="00FC7A08" w:rsidRDefault="00FC7A08" w:rsidP="00B958B5">
                  <w:pPr>
                    <w:spacing w:after="0"/>
                    <w:ind w:right="-720"/>
                    <w:rPr>
                      <w:rFonts w:ascii="Arial" w:hAnsi="Arial" w:cs="Arial"/>
                      <w:sz w:val="20"/>
                      <w:szCs w:val="20"/>
                    </w:rPr>
                  </w:pPr>
                </w:p>
                <w:tbl>
                  <w:tblPr>
                    <w:tblW w:w="7500" w:type="dxa"/>
                    <w:tblInd w:w="93" w:type="dxa"/>
                    <w:tblCellMar>
                      <w:left w:w="0" w:type="dxa"/>
                      <w:right w:w="0" w:type="dxa"/>
                    </w:tblCellMar>
                    <w:tblLook w:val="04A0" w:firstRow="1" w:lastRow="0" w:firstColumn="1" w:lastColumn="0" w:noHBand="0" w:noVBand="1"/>
                  </w:tblPr>
                  <w:tblGrid>
                    <w:gridCol w:w="2240"/>
                    <w:gridCol w:w="5260"/>
                  </w:tblGrid>
                  <w:tr w:rsidR="00FC7A08" w:rsidTr="00FC7A08">
                    <w:trPr>
                      <w:trHeight w:val="288"/>
                    </w:trPr>
                    <w:tc>
                      <w:tcPr>
                        <w:tcW w:w="22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autoSpaceDN w:val="0"/>
                          <w:rPr>
                            <w:rFonts w:ascii="Calibri" w:hAnsi="Calibri"/>
                            <w:color w:val="000000"/>
                          </w:rPr>
                        </w:pPr>
                        <w:r>
                          <w:rPr>
                            <w:color w:val="000000"/>
                          </w:rPr>
                          <w:t>January 2015</w:t>
                        </w:r>
                      </w:p>
                    </w:tc>
                    <w:tc>
                      <w:tcPr>
                        <w:tcW w:w="5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TRB Annual Meeting. Distribute Advance Program</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autoSpaceDN w:val="0"/>
                          <w:rPr>
                            <w:rFonts w:ascii="Calibri" w:hAnsi="Calibri"/>
                            <w:color w:val="000000"/>
                          </w:rPr>
                        </w:pPr>
                        <w:r>
                          <w:rPr>
                            <w:color w:val="000000"/>
                          </w:rPr>
                          <w:t>February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Theme Workshop Speakers selected</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autoSpaceDN w:val="0"/>
                          <w:rPr>
                            <w:rFonts w:ascii="Calibri" w:hAnsi="Calibri"/>
                            <w:color w:val="000000"/>
                          </w:rPr>
                        </w:pPr>
                        <w:r>
                          <w:rPr>
                            <w:color w:val="000000"/>
                          </w:rPr>
                          <w:t>February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Logistics Memo out to all travelers</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autoSpaceDN w:val="0"/>
                          <w:rPr>
                            <w:rFonts w:ascii="Calibri" w:hAnsi="Calibri"/>
                            <w:color w:val="000000"/>
                          </w:rPr>
                        </w:pPr>
                        <w:r>
                          <w:rPr>
                            <w:color w:val="000000"/>
                          </w:rPr>
                          <w:t>February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Preliminary Program Posted</w:t>
                        </w:r>
                      </w:p>
                    </w:tc>
                  </w:tr>
                  <w:tr w:rsidR="00FC7A08" w:rsidTr="00FC7A08">
                    <w:trPr>
                      <w:trHeight w:val="288"/>
                    </w:trPr>
                    <w:tc>
                      <w:tcPr>
                        <w:tcW w:w="2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C7A08" w:rsidRDefault="00FC7A08">
                        <w:pPr>
                          <w:autoSpaceDN w:val="0"/>
                          <w:rPr>
                            <w:rFonts w:ascii="Calibri" w:hAnsi="Calibri"/>
                            <w:color w:val="000000"/>
                          </w:rPr>
                        </w:pPr>
                        <w:r>
                          <w:rPr>
                            <w:color w:val="000000"/>
                          </w:rPr>
                          <w:t>March 2015</w:t>
                        </w:r>
                      </w:p>
                    </w:tc>
                    <w:tc>
                      <w:tcPr>
                        <w:tcW w:w="5260" w:type="dxa"/>
                        <w:tcBorders>
                          <w:top w:val="nil"/>
                          <w:left w:val="nil"/>
                          <w:bottom w:val="single" w:sz="8" w:space="0" w:color="auto"/>
                          <w:right w:val="single" w:sz="8" w:space="0" w:color="auto"/>
                        </w:tcBorders>
                        <w:tcMar>
                          <w:top w:w="0" w:type="dxa"/>
                          <w:left w:w="108" w:type="dxa"/>
                          <w:bottom w:w="0" w:type="dxa"/>
                          <w:right w:w="108" w:type="dxa"/>
                        </w:tcMar>
                        <w:hideMark/>
                      </w:tcPr>
                      <w:p w:rsidR="00FC7A08" w:rsidRDefault="00FC7A08">
                        <w:pPr>
                          <w:autoSpaceDN w:val="0"/>
                          <w:rPr>
                            <w:rFonts w:ascii="Calibri" w:hAnsi="Calibri"/>
                          </w:rPr>
                        </w:pPr>
                        <w:r>
                          <w:t>Early Bird Registration Deadline</w:t>
                        </w:r>
                      </w:p>
                    </w:tc>
                  </w:tr>
                </w:tbl>
                <w:p w:rsidR="00FC7A08" w:rsidRDefault="00FC7A08" w:rsidP="00B958B5">
                  <w:pPr>
                    <w:spacing w:after="0"/>
                    <w:ind w:right="-720"/>
                    <w:rPr>
                      <w:rFonts w:ascii="Arial" w:hAnsi="Arial" w:cs="Arial"/>
                      <w:sz w:val="20"/>
                      <w:szCs w:val="20"/>
                    </w:rPr>
                  </w:pPr>
                </w:p>
                <w:p w:rsidR="00723245" w:rsidRPr="002E05BD" w:rsidRDefault="00723245" w:rsidP="002E05BD">
                  <w:pPr>
                    <w:spacing w:after="0" w:line="240" w:lineRule="auto"/>
                    <w:ind w:right="-720"/>
                    <w:rPr>
                      <w:rFonts w:ascii="Arial" w:hAnsi="Arial" w:cs="Arial"/>
                      <w:sz w:val="20"/>
                      <w:szCs w:val="20"/>
                    </w:rPr>
                  </w:pPr>
                </w:p>
              </w:tc>
            </w:tr>
          </w:tbl>
          <w:p w:rsidR="00601EBD" w:rsidRDefault="00601EBD" w:rsidP="002E05B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E05BD" w:rsidRDefault="002E05BD" w:rsidP="002E05BD">
            <w:pPr>
              <w:ind w:right="-720"/>
              <w:rPr>
                <w:rFonts w:ascii="Arial" w:hAnsi="Arial" w:cs="Arial"/>
                <w:sz w:val="20"/>
                <w:szCs w:val="20"/>
              </w:rPr>
            </w:pPr>
          </w:p>
          <w:p w:rsidR="002E05BD" w:rsidRPr="002E05BD" w:rsidRDefault="002E05BD" w:rsidP="002E05BD">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2E05BD" w:rsidP="00551D8A">
            <w:pPr>
              <w:ind w:right="-720"/>
              <w:rPr>
                <w:rFonts w:ascii="Arial" w:hAnsi="Arial" w:cs="Arial"/>
                <w:sz w:val="20"/>
                <w:szCs w:val="20"/>
              </w:rPr>
            </w:pPr>
            <w:r>
              <w:rPr>
                <w:rFonts w:ascii="Arial" w:hAnsi="Arial" w:cs="Arial"/>
                <w:sz w:val="20"/>
                <w:szCs w:val="20"/>
              </w:rPr>
              <w:t>Implementation is inherent to this project’s activities.</w:t>
            </w:r>
          </w:p>
          <w:p w:rsidR="00E35E0F" w:rsidRDefault="00E35E0F" w:rsidP="002E05BD">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50" w:rsidRDefault="007A5550" w:rsidP="00106C83">
      <w:pPr>
        <w:spacing w:after="0" w:line="240" w:lineRule="auto"/>
      </w:pPr>
      <w:r>
        <w:separator/>
      </w:r>
    </w:p>
  </w:endnote>
  <w:endnote w:type="continuationSeparator" w:id="0">
    <w:p w:rsidR="007A5550" w:rsidRDefault="007A55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50" w:rsidRDefault="007A5550" w:rsidP="00106C83">
      <w:pPr>
        <w:spacing w:after="0" w:line="240" w:lineRule="auto"/>
      </w:pPr>
      <w:r>
        <w:separator/>
      </w:r>
    </w:p>
  </w:footnote>
  <w:footnote w:type="continuationSeparator" w:id="0">
    <w:p w:rsidR="007A5550" w:rsidRDefault="007A55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52F3"/>
    <w:multiLevelType w:val="hybridMultilevel"/>
    <w:tmpl w:val="28D8545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6CE45ED"/>
    <w:multiLevelType w:val="hybridMultilevel"/>
    <w:tmpl w:val="C1D6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6ECA7E00"/>
    <w:multiLevelType w:val="hybridMultilevel"/>
    <w:tmpl w:val="33D6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608AA"/>
    <w:rsid w:val="000736BB"/>
    <w:rsid w:val="0008335D"/>
    <w:rsid w:val="000A2DA0"/>
    <w:rsid w:val="000B665A"/>
    <w:rsid w:val="00106C83"/>
    <w:rsid w:val="001200D1"/>
    <w:rsid w:val="001547D0"/>
    <w:rsid w:val="00161153"/>
    <w:rsid w:val="001613E2"/>
    <w:rsid w:val="001E0C90"/>
    <w:rsid w:val="0021446D"/>
    <w:rsid w:val="00220103"/>
    <w:rsid w:val="00273F9C"/>
    <w:rsid w:val="00293FD8"/>
    <w:rsid w:val="002A79C8"/>
    <w:rsid w:val="002E05BD"/>
    <w:rsid w:val="0038705A"/>
    <w:rsid w:val="00410D6E"/>
    <w:rsid w:val="004144E6"/>
    <w:rsid w:val="004156B2"/>
    <w:rsid w:val="00437734"/>
    <w:rsid w:val="004E14DC"/>
    <w:rsid w:val="00535598"/>
    <w:rsid w:val="00547EE3"/>
    <w:rsid w:val="00551D8A"/>
    <w:rsid w:val="00581B36"/>
    <w:rsid w:val="00583E8E"/>
    <w:rsid w:val="00601EBD"/>
    <w:rsid w:val="006339B2"/>
    <w:rsid w:val="006655DD"/>
    <w:rsid w:val="00682C5E"/>
    <w:rsid w:val="006A761C"/>
    <w:rsid w:val="006E48BF"/>
    <w:rsid w:val="00723245"/>
    <w:rsid w:val="00743C01"/>
    <w:rsid w:val="00790C4A"/>
    <w:rsid w:val="007A5550"/>
    <w:rsid w:val="007C2B8C"/>
    <w:rsid w:val="007E5BD2"/>
    <w:rsid w:val="008025B9"/>
    <w:rsid w:val="0080462F"/>
    <w:rsid w:val="0086326F"/>
    <w:rsid w:val="00872F18"/>
    <w:rsid w:val="00874EF7"/>
    <w:rsid w:val="009B247C"/>
    <w:rsid w:val="009F50A2"/>
    <w:rsid w:val="00A43875"/>
    <w:rsid w:val="00A63677"/>
    <w:rsid w:val="00A80EE6"/>
    <w:rsid w:val="00AD79DA"/>
    <w:rsid w:val="00AE46B0"/>
    <w:rsid w:val="00B2185C"/>
    <w:rsid w:val="00B242E2"/>
    <w:rsid w:val="00B66A21"/>
    <w:rsid w:val="00B958B5"/>
    <w:rsid w:val="00C13753"/>
    <w:rsid w:val="00C17311"/>
    <w:rsid w:val="00C541F4"/>
    <w:rsid w:val="00D05DC0"/>
    <w:rsid w:val="00D33F19"/>
    <w:rsid w:val="00D4252E"/>
    <w:rsid w:val="00E35E0F"/>
    <w:rsid w:val="00E371D1"/>
    <w:rsid w:val="00E53738"/>
    <w:rsid w:val="00E9524C"/>
    <w:rsid w:val="00ED5F67"/>
    <w:rsid w:val="00EF08AE"/>
    <w:rsid w:val="00EF5790"/>
    <w:rsid w:val="00FC7A08"/>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613E2"/>
    <w:pPr>
      <w:ind w:left="720"/>
      <w:contextualSpacing/>
    </w:pPr>
    <w:rPr>
      <w:rFonts w:eastAsiaTheme="minorEastAsia"/>
    </w:rPr>
  </w:style>
  <w:style w:type="character" w:styleId="Hyperlink">
    <w:name w:val="Hyperlink"/>
    <w:basedOn w:val="DefaultParagraphFont"/>
    <w:rsid w:val="001613E2"/>
    <w:rPr>
      <w:color w:val="0000FF"/>
      <w:u w:val="single"/>
    </w:rPr>
  </w:style>
  <w:style w:type="paragraph" w:customStyle="1" w:styleId="Default">
    <w:name w:val="Default"/>
    <w:rsid w:val="009F50A2"/>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E05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7278">
      <w:bodyDiv w:val="1"/>
      <w:marLeft w:val="0"/>
      <w:marRight w:val="0"/>
      <w:marTop w:val="0"/>
      <w:marBottom w:val="0"/>
      <w:divBdr>
        <w:top w:val="none" w:sz="0" w:space="0" w:color="auto"/>
        <w:left w:val="none" w:sz="0" w:space="0" w:color="auto"/>
        <w:bottom w:val="none" w:sz="0" w:space="0" w:color="auto"/>
        <w:right w:val="none" w:sz="0" w:space="0" w:color="auto"/>
      </w:divBdr>
    </w:div>
    <w:div w:id="973371587">
      <w:bodyDiv w:val="1"/>
      <w:marLeft w:val="0"/>
      <w:marRight w:val="0"/>
      <w:marTop w:val="0"/>
      <w:marBottom w:val="0"/>
      <w:divBdr>
        <w:top w:val="none" w:sz="0" w:space="0" w:color="auto"/>
        <w:left w:val="none" w:sz="0" w:space="0" w:color="auto"/>
        <w:bottom w:val="none" w:sz="0" w:space="0" w:color="auto"/>
        <w:right w:val="none" w:sz="0" w:space="0" w:color="auto"/>
      </w:divBdr>
    </w:div>
    <w:div w:id="1905984967">
      <w:bodyDiv w:val="1"/>
      <w:marLeft w:val="0"/>
      <w:marRight w:val="0"/>
      <w:marTop w:val="0"/>
      <w:marBottom w:val="0"/>
      <w:divBdr>
        <w:top w:val="none" w:sz="0" w:space="0" w:color="auto"/>
        <w:left w:val="none" w:sz="0" w:space="0" w:color="auto"/>
        <w:bottom w:val="none" w:sz="0" w:space="0" w:color="auto"/>
        <w:right w:val="none" w:sz="0" w:space="0" w:color="auto"/>
      </w:divBdr>
      <w:divsChild>
        <w:div w:id="1309433972">
          <w:marLeft w:val="0"/>
          <w:marRight w:val="0"/>
          <w:marTop w:val="0"/>
          <w:marBottom w:val="0"/>
          <w:divBdr>
            <w:top w:val="none" w:sz="0" w:space="0" w:color="auto"/>
            <w:left w:val="none" w:sz="0" w:space="0" w:color="auto"/>
            <w:bottom w:val="none" w:sz="0" w:space="0" w:color="auto"/>
            <w:right w:val="none" w:sz="0" w:space="0" w:color="auto"/>
          </w:divBdr>
          <w:divsChild>
            <w:div w:id="22480448">
              <w:marLeft w:val="0"/>
              <w:marRight w:val="0"/>
              <w:marTop w:val="0"/>
              <w:marBottom w:val="105"/>
              <w:divBdr>
                <w:top w:val="single" w:sz="6" w:space="6" w:color="858585"/>
                <w:left w:val="single" w:sz="6" w:space="14" w:color="858585"/>
                <w:bottom w:val="single" w:sz="6" w:space="31" w:color="858585"/>
                <w:right w:val="single" w:sz="6" w:space="13" w:color="858585"/>
              </w:divBdr>
              <w:divsChild>
                <w:div w:id="320240128">
                  <w:marLeft w:val="0"/>
                  <w:marRight w:val="0"/>
                  <w:marTop w:val="0"/>
                  <w:marBottom w:val="0"/>
                  <w:divBdr>
                    <w:top w:val="none" w:sz="0" w:space="0" w:color="auto"/>
                    <w:left w:val="none" w:sz="0" w:space="0" w:color="auto"/>
                    <w:bottom w:val="none" w:sz="0" w:space="0" w:color="auto"/>
                    <w:right w:val="none" w:sz="0" w:space="0" w:color="auto"/>
                  </w:divBdr>
                  <w:divsChild>
                    <w:div w:id="16579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84C7B-9801-48B8-93B4-F0DE8E97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Administrator</cp:lastModifiedBy>
  <cp:revision>5</cp:revision>
  <cp:lastPrinted>2011-06-21T20:32:00Z</cp:lastPrinted>
  <dcterms:created xsi:type="dcterms:W3CDTF">2014-07-31T16:18:00Z</dcterms:created>
  <dcterms:modified xsi:type="dcterms:W3CDTF">2015-01-30T15:57:00Z</dcterms:modified>
</cp:coreProperties>
</file>