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92A8A" w:rsidRPr="00EA399C">
        <w:rPr>
          <w:rFonts w:ascii="Arial" w:hAnsi="Arial" w:cs="Arial"/>
          <w:sz w:val="24"/>
          <w:szCs w:val="24"/>
          <w:u w:val="single"/>
        </w:rPr>
        <w:t>Montana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w:t>
            </w:r>
            <w:r w:rsidR="003F443F">
              <w:rPr>
                <w:rFonts w:ascii="Arial" w:hAnsi="Arial" w:cs="Arial"/>
                <w:i/>
                <w:sz w:val="20"/>
                <w:szCs w:val="20"/>
              </w:rPr>
              <w:t>.</w:t>
            </w:r>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E93544" w:rsidP="00551D8A">
            <w:pPr>
              <w:ind w:right="-720"/>
              <w:rPr>
                <w:rFonts w:ascii="Arial" w:hAnsi="Arial" w:cs="Arial"/>
                <w:sz w:val="20"/>
                <w:szCs w:val="20"/>
              </w:rPr>
            </w:pPr>
            <w:r>
              <w:rPr>
                <w:rFonts w:ascii="Arial" w:hAnsi="Arial" w:cs="Arial"/>
                <w:sz w:val="20"/>
                <w:szCs w:val="20"/>
              </w:rPr>
              <w:t>TPF-5</w:t>
            </w:r>
            <w:r w:rsidR="00C54D9A">
              <w:rPr>
                <w:rFonts w:ascii="Arial" w:hAnsi="Arial" w:cs="Arial"/>
                <w:sz w:val="20"/>
                <w:szCs w:val="20"/>
              </w:rPr>
              <w:t>(309)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3F443F">
            <w:pPr>
              <w:ind w:right="252"/>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E93544" w:rsidP="00037FBC">
            <w:pPr>
              <w:ind w:right="-720"/>
              <w:rPr>
                <w:rFonts w:ascii="Arial" w:hAnsi="Arial" w:cs="Arial"/>
                <w:sz w:val="20"/>
                <w:szCs w:val="20"/>
              </w:rPr>
            </w:pPr>
            <w:r>
              <w:rPr>
                <w:rFonts w:ascii="Arial" w:hAnsi="Arial" w:cs="Arial"/>
                <w:sz w:val="36"/>
                <w:szCs w:val="36"/>
              </w:rPr>
              <w:t xml:space="preserve">X </w:t>
            </w:r>
            <w:r w:rsidR="00581B36">
              <w:rPr>
                <w:rFonts w:ascii="Arial" w:hAnsi="Arial" w:cs="Arial"/>
                <w:sz w:val="20"/>
                <w:szCs w:val="20"/>
              </w:rPr>
              <w:t>Quarter 4 (October 1</w:t>
            </w:r>
            <w:r w:rsidR="00551D8A">
              <w:rPr>
                <w:rFonts w:ascii="Arial" w:hAnsi="Arial" w:cs="Arial"/>
                <w:sz w:val="20"/>
                <w:szCs w:val="20"/>
              </w:rPr>
              <w:t xml:space="preserve"> – December 31)</w:t>
            </w:r>
          </w:p>
        </w:tc>
        <w:bookmarkStart w:id="0" w:name="_GoBack"/>
        <w:bookmarkEnd w:id="0"/>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E93544" w:rsidRPr="00E93544" w:rsidRDefault="00E93544" w:rsidP="00551D8A">
            <w:pPr>
              <w:ind w:right="-720"/>
              <w:rPr>
                <w:rFonts w:ascii="Arial" w:hAnsi="Arial" w:cs="Arial"/>
                <w:sz w:val="20"/>
                <w:szCs w:val="20"/>
              </w:rPr>
            </w:pPr>
          </w:p>
          <w:p w:rsidR="00535598" w:rsidRPr="00E93544" w:rsidRDefault="002914C0" w:rsidP="00551D8A">
            <w:pPr>
              <w:ind w:right="-720"/>
              <w:rPr>
                <w:rFonts w:ascii="Arial" w:hAnsi="Arial" w:cs="Arial"/>
                <w:sz w:val="20"/>
                <w:szCs w:val="20"/>
              </w:rPr>
            </w:pPr>
            <w:r w:rsidRPr="00E93544">
              <w:rPr>
                <w:rFonts w:ascii="Arial" w:hAnsi="Arial" w:cs="Arial"/>
                <w:sz w:val="20"/>
                <w:szCs w:val="20"/>
              </w:rPr>
              <w:t>Partnership for the Transformation of Traffic Safety Culture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92A8A" w:rsidRPr="008E2183" w:rsidRDefault="00592A8A" w:rsidP="00551D8A">
            <w:pPr>
              <w:ind w:right="-720"/>
              <w:rPr>
                <w:rFonts w:ascii="Arial" w:hAnsi="Arial" w:cs="Arial"/>
                <w:sz w:val="20"/>
                <w:szCs w:val="20"/>
              </w:rPr>
            </w:pPr>
            <w:r w:rsidRPr="008E2183">
              <w:rPr>
                <w:rFonts w:ascii="Arial" w:hAnsi="Arial" w:cs="Arial"/>
                <w:sz w:val="20"/>
                <w:szCs w:val="20"/>
              </w:rPr>
              <w:t>Sue Sillick</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92A8A" w:rsidRPr="008E2183" w:rsidRDefault="002914C0" w:rsidP="00551D8A">
            <w:pPr>
              <w:ind w:right="-720"/>
              <w:rPr>
                <w:rFonts w:ascii="Arial" w:hAnsi="Arial" w:cs="Arial"/>
                <w:sz w:val="20"/>
                <w:szCs w:val="20"/>
              </w:rPr>
            </w:pPr>
            <w:r w:rsidRPr="008E2183">
              <w:rPr>
                <w:rFonts w:ascii="Arial" w:hAnsi="Arial" w:cs="Arial"/>
                <w:sz w:val="20"/>
                <w:szCs w:val="20"/>
              </w:rPr>
              <w:t>406-444-7693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8E2183" w:rsidRDefault="002914C0" w:rsidP="00551D8A">
            <w:pPr>
              <w:ind w:right="-720"/>
              <w:rPr>
                <w:rFonts w:ascii="Arial" w:hAnsi="Arial" w:cs="Arial"/>
                <w:sz w:val="20"/>
                <w:szCs w:val="20"/>
              </w:rPr>
            </w:pPr>
            <w:r w:rsidRPr="008E2183">
              <w:rPr>
                <w:rFonts w:ascii="Arial" w:hAnsi="Arial" w:cs="Arial"/>
                <w:sz w:val="20"/>
                <w:szCs w:val="20"/>
              </w:rPr>
              <w:t>ssillick@mt.gov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92A8A" w:rsidRPr="008E2183" w:rsidRDefault="00942D20" w:rsidP="00942D20">
            <w:pPr>
              <w:ind w:right="-720"/>
              <w:rPr>
                <w:rFonts w:ascii="Arial" w:hAnsi="Arial" w:cs="Arial"/>
                <w:sz w:val="20"/>
                <w:szCs w:val="20"/>
              </w:rPr>
            </w:pPr>
            <w:r>
              <w:rPr>
                <w:rFonts w:ascii="Arial" w:hAnsi="Arial" w:cs="Arial"/>
                <w:sz w:val="20"/>
                <w:szCs w:val="20"/>
              </w:rPr>
              <w:t>8882-309</w:t>
            </w:r>
          </w:p>
        </w:tc>
        <w:tc>
          <w:tcPr>
            <w:tcW w:w="3330" w:type="dxa"/>
            <w:gridSpan w:val="2"/>
          </w:tcPr>
          <w:p w:rsidR="002914C0" w:rsidRPr="00942D20"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92A8A"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Default="00E93544" w:rsidP="002914C0">
            <w:pPr>
              <w:ind w:right="-720"/>
              <w:rPr>
                <w:rFonts w:ascii="Arial" w:hAnsi="Arial" w:cs="Arial"/>
                <w:sz w:val="20"/>
                <w:szCs w:val="20"/>
              </w:rPr>
            </w:pPr>
            <w:r>
              <w:rPr>
                <w:rFonts w:ascii="Arial" w:hAnsi="Arial" w:cs="Arial"/>
                <w:sz w:val="20"/>
                <w:szCs w:val="20"/>
              </w:rPr>
              <w:t>Oct, 1</w:t>
            </w:r>
            <w:r w:rsidRPr="00E93544">
              <w:rPr>
                <w:rFonts w:ascii="Arial" w:hAnsi="Arial" w:cs="Arial"/>
                <w:sz w:val="20"/>
                <w:szCs w:val="20"/>
                <w:vertAlign w:val="superscript"/>
              </w:rPr>
              <w:t>st</w:t>
            </w:r>
            <w:r>
              <w:rPr>
                <w:rFonts w:ascii="Arial" w:hAnsi="Arial" w:cs="Arial"/>
                <w:sz w:val="20"/>
                <w:szCs w:val="20"/>
              </w:rPr>
              <w:t>, 2014</w:t>
            </w:r>
          </w:p>
          <w:p w:rsidR="00E93544" w:rsidRPr="00B66A21" w:rsidRDefault="00E93544" w:rsidP="002914C0">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92A8A" w:rsidRPr="00592A8A" w:rsidRDefault="00E93544" w:rsidP="0003476C">
            <w:pPr>
              <w:ind w:right="-720"/>
              <w:rPr>
                <w:rFonts w:ascii="Arial" w:hAnsi="Arial" w:cs="Arial"/>
                <w:sz w:val="20"/>
                <w:szCs w:val="20"/>
              </w:rPr>
            </w:pPr>
            <w:r>
              <w:rPr>
                <w:rFonts w:ascii="Arial" w:hAnsi="Arial" w:cs="Arial"/>
                <w:sz w:val="20"/>
                <w:szCs w:val="20"/>
              </w:rPr>
              <w:t>September 30</w:t>
            </w:r>
            <w:r w:rsidRPr="00E93544">
              <w:rPr>
                <w:rFonts w:ascii="Arial" w:hAnsi="Arial" w:cs="Arial"/>
                <w:sz w:val="20"/>
                <w:szCs w:val="20"/>
                <w:vertAlign w:val="superscript"/>
              </w:rPr>
              <w:t>th</w:t>
            </w:r>
            <w:r>
              <w:rPr>
                <w:rFonts w:ascii="Arial" w:hAnsi="Arial" w:cs="Arial"/>
                <w:sz w:val="20"/>
                <w:szCs w:val="20"/>
              </w:rPr>
              <w:t>, 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E93544" w:rsidRPr="008E2183" w:rsidRDefault="00E93544" w:rsidP="0003476C">
            <w:pPr>
              <w:ind w:right="-720"/>
              <w:rPr>
                <w:rFonts w:ascii="Arial" w:hAnsi="Arial" w:cs="Arial"/>
                <w:sz w:val="20"/>
                <w:szCs w:val="20"/>
              </w:rPr>
            </w:pPr>
            <w:r w:rsidRPr="008E2183">
              <w:rPr>
                <w:rFonts w:ascii="Arial" w:hAnsi="Arial" w:cs="Arial"/>
                <w:sz w:val="20"/>
                <w:szCs w:val="20"/>
              </w:rPr>
              <w:t>September 30</w:t>
            </w:r>
            <w:r w:rsidRPr="008E2183">
              <w:rPr>
                <w:rFonts w:ascii="Arial" w:hAnsi="Arial" w:cs="Arial"/>
                <w:sz w:val="20"/>
                <w:szCs w:val="20"/>
                <w:vertAlign w:val="superscript"/>
              </w:rPr>
              <w:t>th</w:t>
            </w:r>
            <w:r w:rsidRPr="008E2183">
              <w:rPr>
                <w:rFonts w:ascii="Arial" w:hAnsi="Arial" w:cs="Arial"/>
                <w:sz w:val="20"/>
                <w:szCs w:val="20"/>
              </w:rPr>
              <w:t>, 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83A6C"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9354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8E2183" w:rsidP="00C83A6C">
            <w:pPr>
              <w:ind w:right="-720"/>
              <w:jc w:val="center"/>
              <w:rPr>
                <w:rFonts w:ascii="Arial" w:hAnsi="Arial" w:cs="Arial"/>
                <w:sz w:val="20"/>
                <w:szCs w:val="20"/>
              </w:rPr>
            </w:pPr>
            <w:r>
              <w:rPr>
                <w:rFonts w:ascii="Arial" w:hAnsi="Arial" w:cs="Arial"/>
                <w:sz w:val="20"/>
                <w:szCs w:val="20"/>
              </w:rPr>
              <w:t>$64,601.10</w:t>
            </w:r>
          </w:p>
        </w:tc>
        <w:tc>
          <w:tcPr>
            <w:tcW w:w="3330" w:type="dxa"/>
          </w:tcPr>
          <w:p w:rsidR="00874EF7" w:rsidRPr="00B66A21" w:rsidRDefault="00C83A6C" w:rsidP="00983F84">
            <w:pPr>
              <w:ind w:right="-720"/>
              <w:jc w:val="center"/>
              <w:rPr>
                <w:rFonts w:ascii="Arial" w:hAnsi="Arial" w:cs="Arial"/>
                <w:sz w:val="20"/>
                <w:szCs w:val="20"/>
              </w:rPr>
            </w:pPr>
            <w:r>
              <w:rPr>
                <w:rFonts w:ascii="Arial" w:hAnsi="Arial" w:cs="Arial"/>
                <w:sz w:val="20"/>
                <w:szCs w:val="20"/>
              </w:rPr>
              <w:t>$</w:t>
            </w:r>
            <w:r w:rsidR="00983F84">
              <w:rPr>
                <w:rFonts w:ascii="Arial" w:hAnsi="Arial" w:cs="Arial"/>
                <w:sz w:val="20"/>
                <w:szCs w:val="20"/>
              </w:rPr>
              <w:t>0.00</w:t>
            </w:r>
          </w:p>
        </w:tc>
        <w:tc>
          <w:tcPr>
            <w:tcW w:w="3420" w:type="dxa"/>
          </w:tcPr>
          <w:p w:rsidR="00874EF7" w:rsidRPr="00B66A21" w:rsidRDefault="006D159A" w:rsidP="00C83A6C">
            <w:pPr>
              <w:ind w:right="-720"/>
              <w:jc w:val="center"/>
              <w:rPr>
                <w:rFonts w:ascii="Arial" w:hAnsi="Arial" w:cs="Arial"/>
                <w:sz w:val="20"/>
                <w:szCs w:val="20"/>
              </w:rPr>
            </w:pPr>
            <w:r>
              <w:rPr>
                <w:rFonts w:ascii="Arial" w:hAnsi="Arial" w:cs="Arial"/>
                <w:sz w:val="20"/>
                <w:szCs w:val="20"/>
              </w:rPr>
              <w:t>16</w:t>
            </w:r>
            <w:r w:rsidR="00C83A6C">
              <w:rPr>
                <w:rFonts w:ascii="Arial" w:hAnsi="Arial" w:cs="Arial"/>
                <w:sz w:val="20"/>
                <w:szCs w:val="20"/>
              </w:rPr>
              <w:t>%</w:t>
            </w:r>
          </w:p>
          <w:p w:rsidR="00874EF7" w:rsidRPr="00B66A21" w:rsidRDefault="00874EF7" w:rsidP="00C83A6C">
            <w:pPr>
              <w:ind w:right="-720"/>
              <w:jc w:val="center"/>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D7379C">
        <w:rPr>
          <w:rStyle w:val="FootnoteReference"/>
          <w:rFonts w:ascii="Arial" w:hAnsi="Arial" w:cs="Arial"/>
          <w:sz w:val="20"/>
          <w:szCs w:val="20"/>
        </w:rPr>
        <w:footnoteReference w:id="1"/>
      </w:r>
      <w:r>
        <w:rPr>
          <w:rFonts w:ascii="Arial" w:hAnsi="Arial" w:cs="Arial"/>
          <w:sz w:val="20"/>
          <w:szCs w:val="20"/>
        </w:rPr>
        <w:t>:</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83A6C" w:rsidP="00983F84">
            <w:pPr>
              <w:ind w:right="-720"/>
              <w:jc w:val="center"/>
              <w:rPr>
                <w:rFonts w:ascii="Arial" w:hAnsi="Arial" w:cs="Arial"/>
                <w:sz w:val="20"/>
                <w:szCs w:val="20"/>
              </w:rPr>
            </w:pPr>
            <w:r>
              <w:rPr>
                <w:rFonts w:ascii="Arial" w:hAnsi="Arial" w:cs="Arial"/>
                <w:sz w:val="20"/>
                <w:szCs w:val="20"/>
              </w:rPr>
              <w:t>$</w:t>
            </w:r>
            <w:r w:rsidR="00983F84">
              <w:rPr>
                <w:rFonts w:ascii="Arial" w:hAnsi="Arial" w:cs="Arial"/>
                <w:sz w:val="20"/>
                <w:szCs w:val="20"/>
              </w:rPr>
              <w:t>0.00</w:t>
            </w:r>
            <w:r w:rsidR="006D159A">
              <w:rPr>
                <w:rFonts w:ascii="Arial" w:hAnsi="Arial" w:cs="Arial"/>
                <w:sz w:val="20"/>
                <w:szCs w:val="20"/>
              </w:rPr>
              <w:t xml:space="preserve"> and 16</w:t>
            </w:r>
            <w:r>
              <w:rPr>
                <w:rFonts w:ascii="Arial" w:hAnsi="Arial" w:cs="Arial"/>
                <w:sz w:val="20"/>
                <w:szCs w:val="20"/>
              </w:rPr>
              <w:t>%</w:t>
            </w:r>
          </w:p>
        </w:tc>
        <w:tc>
          <w:tcPr>
            <w:tcW w:w="3330" w:type="dxa"/>
          </w:tcPr>
          <w:p w:rsidR="00B66A21" w:rsidRPr="00B66A21" w:rsidRDefault="00C83A6C" w:rsidP="00983F84">
            <w:pPr>
              <w:ind w:right="-720"/>
              <w:jc w:val="center"/>
              <w:rPr>
                <w:rFonts w:ascii="Arial" w:hAnsi="Arial" w:cs="Arial"/>
                <w:sz w:val="20"/>
                <w:szCs w:val="20"/>
              </w:rPr>
            </w:pPr>
            <w:r>
              <w:rPr>
                <w:rFonts w:ascii="Arial" w:hAnsi="Arial" w:cs="Arial"/>
                <w:sz w:val="20"/>
                <w:szCs w:val="20"/>
              </w:rPr>
              <w:t>$</w:t>
            </w:r>
            <w:r w:rsidR="00983F84">
              <w:rPr>
                <w:rFonts w:ascii="Arial" w:hAnsi="Arial" w:cs="Arial"/>
                <w:sz w:val="20"/>
                <w:szCs w:val="20"/>
              </w:rPr>
              <w:t>0.00</w:t>
            </w:r>
          </w:p>
        </w:tc>
        <w:tc>
          <w:tcPr>
            <w:tcW w:w="3420" w:type="dxa"/>
          </w:tcPr>
          <w:p w:rsidR="00B66A21" w:rsidRPr="00B66A21" w:rsidRDefault="006D159A" w:rsidP="003F443F">
            <w:pPr>
              <w:ind w:right="-720"/>
              <w:jc w:val="center"/>
              <w:rPr>
                <w:rFonts w:ascii="Arial" w:hAnsi="Arial" w:cs="Arial"/>
                <w:sz w:val="20"/>
                <w:szCs w:val="20"/>
              </w:rPr>
            </w:pPr>
            <w:r>
              <w:rPr>
                <w:rFonts w:ascii="Arial" w:hAnsi="Arial" w:cs="Arial"/>
                <w:sz w:val="20"/>
                <w:szCs w:val="20"/>
              </w:rPr>
              <w:t>16</w:t>
            </w:r>
            <w:r w:rsidR="00C83A6C">
              <w:rPr>
                <w:rFonts w:ascii="Arial" w:hAnsi="Arial" w:cs="Arial"/>
                <w:sz w:val="20"/>
                <w:szCs w:val="20"/>
              </w:rPr>
              <w:t>%</w:t>
            </w:r>
          </w:p>
        </w:tc>
      </w:tr>
      <w:tr w:rsidR="00601EBD" w:rsidTr="00601EBD">
        <w:tc>
          <w:tcPr>
            <w:tcW w:w="10908" w:type="dxa"/>
            <w:gridSpan w:val="3"/>
          </w:tcPr>
          <w:p w:rsidR="00601EBD" w:rsidRPr="00EA399C" w:rsidRDefault="00601EBD" w:rsidP="003F443F">
            <w:pPr>
              <w:ind w:right="252"/>
              <w:rPr>
                <w:rFonts w:ascii="Arial" w:hAnsi="Arial" w:cs="Arial"/>
                <w:sz w:val="20"/>
                <w:szCs w:val="20"/>
              </w:rPr>
            </w:pPr>
            <w:r w:rsidRPr="00EA399C">
              <w:rPr>
                <w:rFonts w:ascii="Arial" w:hAnsi="Arial" w:cs="Arial"/>
                <w:b/>
                <w:sz w:val="20"/>
                <w:szCs w:val="20"/>
              </w:rPr>
              <w:lastRenderedPageBreak/>
              <w:t>Project Description</w:t>
            </w:r>
            <w:r w:rsidRPr="00EA399C">
              <w:rPr>
                <w:rFonts w:ascii="Arial" w:hAnsi="Arial" w:cs="Arial"/>
                <w:sz w:val="20"/>
                <w:szCs w:val="20"/>
              </w:rPr>
              <w:t>:</w:t>
            </w:r>
          </w:p>
          <w:p w:rsidR="00E35E0F" w:rsidRPr="00EA399C" w:rsidRDefault="00E35E0F" w:rsidP="003F443F">
            <w:pPr>
              <w:ind w:right="252"/>
              <w:rPr>
                <w:rFonts w:ascii="Arial" w:hAnsi="Arial" w:cs="Arial"/>
                <w:sz w:val="20"/>
                <w:szCs w:val="20"/>
              </w:rPr>
            </w:pPr>
          </w:p>
          <w:p w:rsidR="00601EBD" w:rsidRPr="00EA399C" w:rsidRDefault="002914C0" w:rsidP="003F443F">
            <w:pPr>
              <w:ind w:right="252"/>
              <w:rPr>
                <w:rFonts w:ascii="Arial" w:hAnsi="Arial" w:cs="Arial"/>
                <w:color w:val="000000" w:themeColor="text1"/>
                <w:sz w:val="20"/>
                <w:szCs w:val="20"/>
              </w:rPr>
            </w:pPr>
            <w:r w:rsidRPr="00EA399C">
              <w:rPr>
                <w:rFonts w:ascii="Arial" w:hAnsi="Arial" w:cs="Arial"/>
                <w:color w:val="000000" w:themeColor="text1"/>
                <w:sz w:val="20"/>
                <w:szCs w:val="20"/>
              </w:rPr>
              <w:t>This program is a cooperative effort of participating state DOTs and other (traditional and non-traditional) organizations with a vested interest in traffic safety.  This long-term partnership will support an evolving and integrated project portfolio developed and revised each year by the partners, and complimentary to other related research activities, such as NCHRP 17-69: A Strategic Approach to transforming Traffic Safety Culture to reduce Deaths and Injuries.  Together, these projects will accelerate the development and delivery of tools and services to transform the national, state, and community level traffic safety culture.  The goal of this transformation is to support the Toward Zero Deaths (TZD) vision with susta</w:t>
            </w:r>
            <w:r w:rsidR="003F443F" w:rsidRPr="00EA399C">
              <w:rPr>
                <w:rFonts w:ascii="Arial" w:hAnsi="Arial" w:cs="Arial"/>
                <w:color w:val="000000" w:themeColor="text1"/>
                <w:sz w:val="20"/>
                <w:szCs w:val="20"/>
              </w:rPr>
              <w:t>inable traffic safety solutions.</w:t>
            </w:r>
          </w:p>
          <w:p w:rsidR="003F443F" w:rsidRPr="00EA399C" w:rsidRDefault="003F443F" w:rsidP="003F443F">
            <w:pPr>
              <w:ind w:right="252"/>
              <w:rPr>
                <w:rFonts w:ascii="Arial" w:hAnsi="Arial" w:cs="Arial"/>
                <w:color w:val="000000" w:themeColor="text1"/>
                <w:sz w:val="20"/>
                <w:szCs w:val="20"/>
              </w:rPr>
            </w:pPr>
          </w:p>
          <w:p w:rsidR="002914C0" w:rsidRPr="00EA399C" w:rsidRDefault="002914C0" w:rsidP="003F443F">
            <w:pPr>
              <w:ind w:right="252"/>
              <w:rPr>
                <w:rFonts w:ascii="Arial" w:hAnsi="Arial" w:cs="Arial"/>
                <w:sz w:val="20"/>
                <w:szCs w:val="20"/>
              </w:rPr>
            </w:pPr>
            <w:r w:rsidRPr="00EA399C">
              <w:rPr>
                <w:rFonts w:ascii="Arial" w:hAnsi="Arial" w:cs="Arial"/>
                <w:sz w:val="20"/>
                <w:szCs w:val="20"/>
              </w:rPr>
              <w:t>In this context, the Montana Department of Transportation 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traffic safety culture methods to all stakeholders. Together, these efforts will support the transformation of traffic safety culture within the families, communities, and organizations of participating states.</w:t>
            </w:r>
          </w:p>
          <w:p w:rsidR="00601EBD" w:rsidRPr="00EA399C" w:rsidRDefault="00601EBD" w:rsidP="003F443F">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252" w:type="dxa"/>
        <w:tblInd w:w="-720" w:type="dxa"/>
        <w:tblLook w:val="04A0" w:firstRow="1" w:lastRow="0" w:firstColumn="1" w:lastColumn="0" w:noHBand="0" w:noVBand="1"/>
      </w:tblPr>
      <w:tblGrid>
        <w:gridCol w:w="11252"/>
      </w:tblGrid>
      <w:tr w:rsidR="00601EBD" w:rsidTr="00EA399C">
        <w:tc>
          <w:tcPr>
            <w:tcW w:w="11252" w:type="dxa"/>
          </w:tcPr>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F443F">
            <w:pPr>
              <w:ind w:right="596"/>
              <w:rPr>
                <w:rFonts w:ascii="Arial" w:hAnsi="Arial" w:cs="Arial"/>
                <w:sz w:val="20"/>
                <w:szCs w:val="20"/>
              </w:rPr>
            </w:pPr>
          </w:p>
          <w:p w:rsidR="00C54D9A" w:rsidRPr="00C54D9A" w:rsidRDefault="00C54D9A" w:rsidP="003F443F">
            <w:pPr>
              <w:ind w:right="596"/>
              <w:rPr>
                <w:rFonts w:ascii="Arial" w:hAnsi="Arial" w:cs="Arial"/>
                <w:sz w:val="20"/>
                <w:szCs w:val="20"/>
                <w:u w:val="single"/>
              </w:rPr>
            </w:pPr>
            <w:r w:rsidRPr="00C54D9A">
              <w:rPr>
                <w:rFonts w:ascii="Arial" w:hAnsi="Arial" w:cs="Arial"/>
                <w:sz w:val="20"/>
                <w:szCs w:val="20"/>
                <w:u w:val="single"/>
              </w:rPr>
              <w:t>Meetings</w:t>
            </w:r>
          </w:p>
          <w:p w:rsidR="00E93544" w:rsidRDefault="00C54D9A" w:rsidP="003F443F">
            <w:pPr>
              <w:ind w:right="596"/>
              <w:rPr>
                <w:rFonts w:ascii="Arial" w:hAnsi="Arial" w:cs="Arial"/>
                <w:sz w:val="20"/>
                <w:szCs w:val="20"/>
              </w:rPr>
            </w:pPr>
            <w:r>
              <w:rPr>
                <w:rFonts w:ascii="Arial" w:hAnsi="Arial" w:cs="Arial"/>
                <w:sz w:val="20"/>
                <w:szCs w:val="20"/>
              </w:rPr>
              <w:t>November 10</w:t>
            </w:r>
            <w:r w:rsidRPr="00C54D9A">
              <w:rPr>
                <w:rFonts w:ascii="Arial" w:hAnsi="Arial" w:cs="Arial"/>
                <w:sz w:val="20"/>
                <w:szCs w:val="20"/>
                <w:vertAlign w:val="superscript"/>
              </w:rPr>
              <w:t>th</w:t>
            </w:r>
          </w:p>
          <w:p w:rsidR="00C54D9A" w:rsidRDefault="00C54D9A" w:rsidP="003F443F">
            <w:pPr>
              <w:ind w:right="596"/>
              <w:rPr>
                <w:rFonts w:ascii="Arial" w:hAnsi="Arial" w:cs="Arial"/>
                <w:sz w:val="20"/>
                <w:szCs w:val="20"/>
              </w:rPr>
            </w:pPr>
            <w:r>
              <w:rPr>
                <w:rFonts w:ascii="Arial" w:hAnsi="Arial" w:cs="Arial"/>
                <w:sz w:val="20"/>
                <w:szCs w:val="20"/>
              </w:rPr>
              <w:t>The board, program manager, C</w:t>
            </w:r>
            <w:r w:rsidR="00BB4A31">
              <w:rPr>
                <w:rFonts w:ascii="Arial" w:hAnsi="Arial" w:cs="Arial"/>
                <w:sz w:val="20"/>
                <w:szCs w:val="20"/>
              </w:rPr>
              <w:t>HSC</w:t>
            </w:r>
            <w:r w:rsidR="003835B9">
              <w:rPr>
                <w:rFonts w:ascii="Arial" w:hAnsi="Arial" w:cs="Arial"/>
                <w:sz w:val="20"/>
                <w:szCs w:val="20"/>
              </w:rPr>
              <w:t xml:space="preserve"> s</w:t>
            </w:r>
            <w:r>
              <w:rPr>
                <w:rFonts w:ascii="Arial" w:hAnsi="Arial" w:cs="Arial"/>
                <w:sz w:val="20"/>
                <w:szCs w:val="20"/>
              </w:rPr>
              <w:t>taff</w:t>
            </w:r>
            <w:r w:rsidR="00BB4A31">
              <w:rPr>
                <w:rFonts w:ascii="Arial" w:hAnsi="Arial" w:cs="Arial"/>
                <w:sz w:val="20"/>
                <w:szCs w:val="20"/>
              </w:rPr>
              <w:t>,</w:t>
            </w:r>
            <w:r>
              <w:rPr>
                <w:rFonts w:ascii="Arial" w:hAnsi="Arial" w:cs="Arial"/>
                <w:sz w:val="20"/>
                <w:szCs w:val="20"/>
              </w:rPr>
              <w:t xml:space="preserve"> and other interested parties met to discuss the following items:</w:t>
            </w:r>
          </w:p>
          <w:p w:rsidR="00C54D9A" w:rsidRDefault="00C54D9A" w:rsidP="003F443F">
            <w:pPr>
              <w:pStyle w:val="ListParagraph"/>
              <w:numPr>
                <w:ilvl w:val="0"/>
                <w:numId w:val="2"/>
              </w:numPr>
              <w:ind w:right="596"/>
              <w:rPr>
                <w:rFonts w:ascii="Arial" w:hAnsi="Arial" w:cs="Arial"/>
                <w:sz w:val="20"/>
                <w:szCs w:val="20"/>
              </w:rPr>
            </w:pPr>
            <w:r>
              <w:rPr>
                <w:rFonts w:ascii="Arial" w:hAnsi="Arial" w:cs="Arial"/>
                <w:sz w:val="20"/>
                <w:szCs w:val="20"/>
              </w:rPr>
              <w:t>TPF Funding Status</w:t>
            </w:r>
            <w:r w:rsidR="003835B9">
              <w:rPr>
                <w:rFonts w:ascii="Arial" w:hAnsi="Arial" w:cs="Arial"/>
                <w:sz w:val="20"/>
                <w:szCs w:val="20"/>
              </w:rPr>
              <w:t xml:space="preserve"> </w:t>
            </w:r>
            <w:r>
              <w:rPr>
                <w:rFonts w:ascii="Arial" w:hAnsi="Arial" w:cs="Arial"/>
                <w:sz w:val="20"/>
                <w:szCs w:val="20"/>
              </w:rPr>
              <w:t>- commitments, funding transfers, plans to commit</w:t>
            </w:r>
            <w:r w:rsidR="007F0369">
              <w:rPr>
                <w:rFonts w:ascii="Arial" w:hAnsi="Arial" w:cs="Arial"/>
                <w:sz w:val="20"/>
                <w:szCs w:val="20"/>
              </w:rPr>
              <w:t>,</w:t>
            </w:r>
            <w:r>
              <w:rPr>
                <w:rFonts w:ascii="Arial" w:hAnsi="Arial" w:cs="Arial"/>
                <w:sz w:val="20"/>
                <w:szCs w:val="20"/>
              </w:rPr>
              <w:t xml:space="preserve"> and confirm board members</w:t>
            </w:r>
            <w:r w:rsidR="007F0369">
              <w:rPr>
                <w:rFonts w:ascii="Arial" w:hAnsi="Arial" w:cs="Arial"/>
                <w:sz w:val="20"/>
                <w:szCs w:val="20"/>
              </w:rPr>
              <w:t>.</w:t>
            </w:r>
          </w:p>
          <w:p w:rsidR="00C54D9A" w:rsidRPr="006A49C3" w:rsidRDefault="00C54D9A" w:rsidP="003F443F">
            <w:pPr>
              <w:pStyle w:val="ListParagraph"/>
              <w:numPr>
                <w:ilvl w:val="0"/>
                <w:numId w:val="2"/>
              </w:numPr>
              <w:ind w:right="596"/>
              <w:rPr>
                <w:rFonts w:ascii="Arial" w:hAnsi="Arial" w:cs="Arial"/>
                <w:sz w:val="20"/>
                <w:szCs w:val="20"/>
              </w:rPr>
            </w:pPr>
            <w:r w:rsidRPr="006A49C3">
              <w:rPr>
                <w:rFonts w:ascii="Arial" w:hAnsi="Arial" w:cs="Arial"/>
                <w:sz w:val="20"/>
                <w:szCs w:val="20"/>
              </w:rPr>
              <w:t xml:space="preserve">Management </w:t>
            </w:r>
            <w:r w:rsidR="003835B9" w:rsidRPr="006A49C3">
              <w:rPr>
                <w:rFonts w:ascii="Arial" w:hAnsi="Arial" w:cs="Arial"/>
                <w:sz w:val="20"/>
                <w:szCs w:val="20"/>
              </w:rPr>
              <w:t>P</w:t>
            </w:r>
            <w:r w:rsidRPr="006A49C3">
              <w:rPr>
                <w:rFonts w:ascii="Arial" w:hAnsi="Arial" w:cs="Arial"/>
                <w:sz w:val="20"/>
                <w:szCs w:val="20"/>
              </w:rPr>
              <w:t>lan</w:t>
            </w:r>
            <w:r w:rsidR="003835B9" w:rsidRPr="006A49C3">
              <w:rPr>
                <w:rFonts w:ascii="Arial" w:hAnsi="Arial" w:cs="Arial"/>
                <w:sz w:val="20"/>
                <w:szCs w:val="20"/>
              </w:rPr>
              <w:t xml:space="preserve"> </w:t>
            </w:r>
            <w:r w:rsidRPr="006A49C3">
              <w:rPr>
                <w:rFonts w:ascii="Arial" w:hAnsi="Arial" w:cs="Arial"/>
                <w:sz w:val="20"/>
                <w:szCs w:val="20"/>
              </w:rPr>
              <w:t>- Updated final draft was provided to participants. There are only a few items that still need to</w:t>
            </w:r>
            <w:r w:rsidR="007F0369" w:rsidRPr="006A49C3">
              <w:rPr>
                <w:rFonts w:ascii="Arial" w:hAnsi="Arial" w:cs="Arial"/>
                <w:sz w:val="20"/>
                <w:szCs w:val="20"/>
              </w:rPr>
              <w:t xml:space="preserve"> </w:t>
            </w:r>
            <w:r w:rsidRPr="006A49C3">
              <w:rPr>
                <w:rFonts w:ascii="Arial" w:hAnsi="Arial" w:cs="Arial"/>
                <w:sz w:val="20"/>
                <w:szCs w:val="20"/>
              </w:rPr>
              <w:t>be addressed</w:t>
            </w:r>
            <w:r w:rsidR="00BB4A31" w:rsidRPr="006A49C3">
              <w:rPr>
                <w:rFonts w:ascii="Arial" w:hAnsi="Arial" w:cs="Arial"/>
                <w:sz w:val="20"/>
                <w:szCs w:val="20"/>
              </w:rPr>
              <w:t>, such as if there should be different funding levels for</w:t>
            </w:r>
            <w:r w:rsidRPr="006A49C3">
              <w:rPr>
                <w:rFonts w:ascii="Arial" w:hAnsi="Arial" w:cs="Arial"/>
                <w:sz w:val="20"/>
                <w:szCs w:val="20"/>
              </w:rPr>
              <w:t xml:space="preserve"> </w:t>
            </w:r>
            <w:r w:rsidR="00BB4A31" w:rsidRPr="006A49C3">
              <w:rPr>
                <w:rFonts w:ascii="Arial" w:hAnsi="Arial" w:cs="Arial"/>
                <w:sz w:val="20"/>
                <w:szCs w:val="20"/>
              </w:rPr>
              <w:t>participation</w:t>
            </w:r>
            <w:r w:rsidRPr="006A49C3">
              <w:rPr>
                <w:rFonts w:ascii="Arial" w:hAnsi="Arial" w:cs="Arial"/>
                <w:sz w:val="20"/>
                <w:szCs w:val="20"/>
              </w:rPr>
              <w:t xml:space="preserve">, but the board </w:t>
            </w:r>
            <w:r w:rsidR="00BB4A31" w:rsidRPr="006A49C3">
              <w:rPr>
                <w:rFonts w:ascii="Arial" w:hAnsi="Arial" w:cs="Arial"/>
                <w:sz w:val="20"/>
                <w:szCs w:val="20"/>
              </w:rPr>
              <w:t>felt this decision should wait until the pooled fund has some time to mature. After which, the Board can maker a more informed decision</w:t>
            </w:r>
            <w:r w:rsidRPr="006A49C3">
              <w:rPr>
                <w:rFonts w:ascii="Arial" w:hAnsi="Arial" w:cs="Arial"/>
                <w:sz w:val="20"/>
                <w:szCs w:val="20"/>
              </w:rPr>
              <w:t>.</w:t>
            </w:r>
          </w:p>
          <w:p w:rsidR="00C54D9A" w:rsidRPr="006A49C3" w:rsidRDefault="00BB4A31" w:rsidP="003F443F">
            <w:pPr>
              <w:pStyle w:val="ListParagraph"/>
              <w:numPr>
                <w:ilvl w:val="0"/>
                <w:numId w:val="2"/>
              </w:numPr>
              <w:ind w:right="596"/>
              <w:rPr>
                <w:rFonts w:ascii="Arial" w:hAnsi="Arial" w:cs="Arial"/>
                <w:sz w:val="20"/>
                <w:szCs w:val="20"/>
              </w:rPr>
            </w:pPr>
            <w:r w:rsidRPr="006A49C3">
              <w:rPr>
                <w:rFonts w:ascii="Arial" w:hAnsi="Arial" w:cs="Arial"/>
                <w:sz w:val="20"/>
                <w:szCs w:val="20"/>
              </w:rPr>
              <w:t>TSC-</w:t>
            </w:r>
            <w:r w:rsidR="00C54D9A" w:rsidRPr="006A49C3">
              <w:rPr>
                <w:rFonts w:ascii="Arial" w:hAnsi="Arial" w:cs="Arial"/>
                <w:sz w:val="20"/>
                <w:szCs w:val="20"/>
              </w:rPr>
              <w:t xml:space="preserve">TPS Support </w:t>
            </w:r>
            <w:r w:rsidR="008E2183" w:rsidRPr="006A49C3">
              <w:rPr>
                <w:rFonts w:ascii="Arial" w:hAnsi="Arial" w:cs="Arial"/>
                <w:sz w:val="20"/>
                <w:szCs w:val="20"/>
              </w:rPr>
              <w:t>Proposal</w:t>
            </w:r>
            <w:r w:rsidR="003835B9" w:rsidRPr="006A49C3">
              <w:rPr>
                <w:rFonts w:ascii="Arial" w:hAnsi="Arial" w:cs="Arial"/>
                <w:sz w:val="20"/>
                <w:szCs w:val="20"/>
              </w:rPr>
              <w:t xml:space="preserve"> </w:t>
            </w:r>
            <w:r w:rsidR="00C54D9A" w:rsidRPr="006A49C3">
              <w:rPr>
                <w:rFonts w:ascii="Arial" w:hAnsi="Arial" w:cs="Arial"/>
                <w:sz w:val="20"/>
                <w:szCs w:val="20"/>
              </w:rPr>
              <w:t>- Discussed, comme</w:t>
            </w:r>
            <w:r w:rsidRPr="006A49C3">
              <w:rPr>
                <w:rFonts w:ascii="Arial" w:hAnsi="Arial" w:cs="Arial"/>
                <w:sz w:val="20"/>
                <w:szCs w:val="20"/>
              </w:rPr>
              <w:t xml:space="preserve">nted and asked questions of </w:t>
            </w:r>
            <w:r w:rsidR="00C54D9A" w:rsidRPr="006A49C3">
              <w:rPr>
                <w:rFonts w:ascii="Arial" w:hAnsi="Arial" w:cs="Arial"/>
                <w:sz w:val="20"/>
                <w:szCs w:val="20"/>
              </w:rPr>
              <w:t>C</w:t>
            </w:r>
            <w:r w:rsidRPr="006A49C3">
              <w:rPr>
                <w:rFonts w:ascii="Arial" w:hAnsi="Arial" w:cs="Arial"/>
                <w:sz w:val="20"/>
                <w:szCs w:val="20"/>
              </w:rPr>
              <w:t>HSC staff</w:t>
            </w:r>
            <w:r w:rsidR="00C54D9A" w:rsidRPr="006A49C3">
              <w:rPr>
                <w:rFonts w:ascii="Arial" w:hAnsi="Arial" w:cs="Arial"/>
                <w:sz w:val="20"/>
                <w:szCs w:val="20"/>
              </w:rPr>
              <w:t xml:space="preserve"> on the Support </w:t>
            </w:r>
            <w:r w:rsidR="008E2183" w:rsidRPr="006A49C3">
              <w:rPr>
                <w:rFonts w:ascii="Arial" w:hAnsi="Arial" w:cs="Arial"/>
                <w:sz w:val="20"/>
                <w:szCs w:val="20"/>
              </w:rPr>
              <w:t>proposal</w:t>
            </w:r>
            <w:r w:rsidR="006A49C3" w:rsidRPr="006A49C3">
              <w:rPr>
                <w:rFonts w:ascii="Arial" w:hAnsi="Arial" w:cs="Arial"/>
                <w:sz w:val="20"/>
                <w:szCs w:val="20"/>
              </w:rPr>
              <w:t xml:space="preserve"> </w:t>
            </w:r>
            <w:r w:rsidR="003835B9" w:rsidRPr="006A49C3">
              <w:rPr>
                <w:rFonts w:ascii="Arial" w:hAnsi="Arial" w:cs="Arial"/>
                <w:sz w:val="20"/>
                <w:szCs w:val="20"/>
              </w:rPr>
              <w:t>su</w:t>
            </w:r>
            <w:r w:rsidR="00C54D9A" w:rsidRPr="006A49C3">
              <w:rPr>
                <w:rFonts w:ascii="Arial" w:hAnsi="Arial" w:cs="Arial"/>
                <w:sz w:val="20"/>
                <w:szCs w:val="20"/>
              </w:rPr>
              <w:t xml:space="preserve">bmitted to MDT. It was determined that the support </w:t>
            </w:r>
            <w:r w:rsidR="008E2183" w:rsidRPr="006A49C3">
              <w:rPr>
                <w:rFonts w:ascii="Arial" w:hAnsi="Arial" w:cs="Arial"/>
                <w:sz w:val="20"/>
                <w:szCs w:val="20"/>
              </w:rPr>
              <w:t>proposal</w:t>
            </w:r>
            <w:r w:rsidR="00C54D9A" w:rsidRPr="006A49C3">
              <w:rPr>
                <w:rFonts w:ascii="Arial" w:hAnsi="Arial" w:cs="Arial"/>
                <w:sz w:val="20"/>
                <w:szCs w:val="20"/>
              </w:rPr>
              <w:t xml:space="preserve"> would be put to a</w:t>
            </w:r>
            <w:r w:rsidRPr="006A49C3">
              <w:rPr>
                <w:rFonts w:ascii="Arial" w:hAnsi="Arial" w:cs="Arial"/>
                <w:sz w:val="20"/>
                <w:szCs w:val="20"/>
              </w:rPr>
              <w:t xml:space="preserve">n e-mail </w:t>
            </w:r>
            <w:r w:rsidR="00C54D9A" w:rsidRPr="006A49C3">
              <w:rPr>
                <w:rFonts w:ascii="Arial" w:hAnsi="Arial" w:cs="Arial"/>
                <w:sz w:val="20"/>
                <w:szCs w:val="20"/>
              </w:rPr>
              <w:t>vote</w:t>
            </w:r>
            <w:r w:rsidRPr="006A49C3">
              <w:rPr>
                <w:rFonts w:ascii="Arial" w:hAnsi="Arial" w:cs="Arial"/>
                <w:sz w:val="20"/>
                <w:szCs w:val="20"/>
              </w:rPr>
              <w:t xml:space="preserve"> for approval</w:t>
            </w:r>
            <w:r w:rsidR="00C54D9A" w:rsidRPr="006A49C3">
              <w:rPr>
                <w:rFonts w:ascii="Arial" w:hAnsi="Arial" w:cs="Arial"/>
                <w:sz w:val="20"/>
                <w:szCs w:val="20"/>
              </w:rPr>
              <w:t>.</w:t>
            </w:r>
          </w:p>
          <w:p w:rsidR="00C54D9A" w:rsidRPr="006A49C3" w:rsidRDefault="00C54D9A" w:rsidP="003F443F">
            <w:pPr>
              <w:pStyle w:val="ListParagraph"/>
              <w:numPr>
                <w:ilvl w:val="0"/>
                <w:numId w:val="2"/>
              </w:numPr>
              <w:ind w:right="596"/>
              <w:rPr>
                <w:rFonts w:ascii="Arial" w:hAnsi="Arial" w:cs="Arial"/>
                <w:sz w:val="20"/>
                <w:szCs w:val="20"/>
              </w:rPr>
            </w:pPr>
            <w:r w:rsidRPr="006A49C3">
              <w:rPr>
                <w:rFonts w:ascii="Arial" w:hAnsi="Arial" w:cs="Arial"/>
                <w:sz w:val="20"/>
                <w:szCs w:val="20"/>
              </w:rPr>
              <w:t>First Year Project and Project Schedule</w:t>
            </w:r>
            <w:r w:rsidR="003835B9" w:rsidRPr="006A49C3">
              <w:rPr>
                <w:rFonts w:ascii="Arial" w:hAnsi="Arial" w:cs="Arial"/>
                <w:sz w:val="20"/>
                <w:szCs w:val="20"/>
              </w:rPr>
              <w:t xml:space="preserve"> </w:t>
            </w:r>
            <w:r w:rsidRPr="006A49C3">
              <w:rPr>
                <w:rFonts w:ascii="Arial" w:hAnsi="Arial" w:cs="Arial"/>
                <w:sz w:val="20"/>
                <w:szCs w:val="20"/>
              </w:rPr>
              <w:t>- There was a lengthy discussion on proposed projects and project schedules. It was determine</w:t>
            </w:r>
            <w:r w:rsidR="007F0369" w:rsidRPr="006A49C3">
              <w:rPr>
                <w:rFonts w:ascii="Arial" w:hAnsi="Arial" w:cs="Arial"/>
                <w:sz w:val="20"/>
                <w:szCs w:val="20"/>
              </w:rPr>
              <w:t>d</w:t>
            </w:r>
            <w:r w:rsidRPr="006A49C3">
              <w:rPr>
                <w:rFonts w:ascii="Arial" w:hAnsi="Arial" w:cs="Arial"/>
                <w:sz w:val="20"/>
                <w:szCs w:val="20"/>
              </w:rPr>
              <w:t xml:space="preserve"> that </w:t>
            </w:r>
            <w:r w:rsidR="00BB4A31" w:rsidRPr="006A49C3">
              <w:rPr>
                <w:rFonts w:ascii="Arial" w:hAnsi="Arial" w:cs="Arial"/>
                <w:sz w:val="20"/>
                <w:szCs w:val="20"/>
              </w:rPr>
              <w:t xml:space="preserve">the </w:t>
            </w:r>
            <w:r w:rsidRPr="006A49C3">
              <w:rPr>
                <w:rFonts w:ascii="Arial" w:hAnsi="Arial" w:cs="Arial"/>
                <w:sz w:val="20"/>
                <w:szCs w:val="20"/>
              </w:rPr>
              <w:t>C</w:t>
            </w:r>
            <w:r w:rsidR="00BB4A31" w:rsidRPr="006A49C3">
              <w:rPr>
                <w:rFonts w:ascii="Arial" w:hAnsi="Arial" w:cs="Arial"/>
                <w:sz w:val="20"/>
                <w:szCs w:val="20"/>
              </w:rPr>
              <w:t>HSC</w:t>
            </w:r>
            <w:r w:rsidRPr="006A49C3">
              <w:rPr>
                <w:rFonts w:ascii="Arial" w:hAnsi="Arial" w:cs="Arial"/>
                <w:sz w:val="20"/>
                <w:szCs w:val="20"/>
              </w:rPr>
              <w:t xml:space="preserve"> would further develop two of the project ideas into </w:t>
            </w:r>
            <w:r w:rsidR="008E2183" w:rsidRPr="006A49C3">
              <w:rPr>
                <w:rFonts w:ascii="Arial" w:hAnsi="Arial" w:cs="Arial"/>
                <w:sz w:val="20"/>
                <w:szCs w:val="20"/>
              </w:rPr>
              <w:t>scopes</w:t>
            </w:r>
            <w:r w:rsidRPr="006A49C3">
              <w:rPr>
                <w:rFonts w:ascii="Arial" w:hAnsi="Arial" w:cs="Arial"/>
                <w:sz w:val="20"/>
                <w:szCs w:val="20"/>
              </w:rPr>
              <w:t xml:space="preserve"> of work with</w:t>
            </w:r>
            <w:r w:rsidR="006A49C3" w:rsidRPr="006A49C3">
              <w:rPr>
                <w:rFonts w:ascii="Arial" w:hAnsi="Arial" w:cs="Arial"/>
                <w:sz w:val="20"/>
                <w:szCs w:val="20"/>
              </w:rPr>
              <w:t xml:space="preserve"> </w:t>
            </w:r>
            <w:r w:rsidRPr="006A49C3">
              <w:rPr>
                <w:rFonts w:ascii="Arial" w:hAnsi="Arial" w:cs="Arial"/>
                <w:sz w:val="20"/>
                <w:szCs w:val="20"/>
              </w:rPr>
              <w:t>budget and</w:t>
            </w:r>
            <w:r w:rsidR="007F0369" w:rsidRPr="006A49C3">
              <w:rPr>
                <w:rFonts w:ascii="Arial" w:hAnsi="Arial" w:cs="Arial"/>
                <w:sz w:val="20"/>
                <w:szCs w:val="20"/>
              </w:rPr>
              <w:t xml:space="preserve"> schedules.</w:t>
            </w:r>
          </w:p>
          <w:p w:rsidR="00331212" w:rsidRPr="006A49C3" w:rsidRDefault="00BB4A31" w:rsidP="003F443F">
            <w:pPr>
              <w:pStyle w:val="ListParagraph"/>
              <w:numPr>
                <w:ilvl w:val="0"/>
                <w:numId w:val="2"/>
              </w:numPr>
              <w:ind w:right="596"/>
              <w:rPr>
                <w:rFonts w:ascii="Arial" w:hAnsi="Arial" w:cs="Arial"/>
                <w:sz w:val="20"/>
                <w:szCs w:val="20"/>
              </w:rPr>
            </w:pPr>
            <w:r w:rsidRPr="006A49C3">
              <w:rPr>
                <w:rFonts w:ascii="Arial" w:hAnsi="Arial" w:cs="Arial"/>
                <w:sz w:val="20"/>
                <w:szCs w:val="20"/>
              </w:rPr>
              <w:t>Set the r</w:t>
            </w:r>
            <w:r w:rsidR="00331212" w:rsidRPr="006A49C3">
              <w:rPr>
                <w:rFonts w:ascii="Arial" w:hAnsi="Arial" w:cs="Arial"/>
                <w:sz w:val="20"/>
                <w:szCs w:val="20"/>
              </w:rPr>
              <w:t>ecurring</w:t>
            </w:r>
            <w:r w:rsidR="00C54D9A" w:rsidRPr="006A49C3">
              <w:rPr>
                <w:rFonts w:ascii="Arial" w:hAnsi="Arial" w:cs="Arial"/>
                <w:sz w:val="20"/>
                <w:szCs w:val="20"/>
              </w:rPr>
              <w:t xml:space="preserve"> quarterly </w:t>
            </w:r>
            <w:r w:rsidR="00331212" w:rsidRPr="006A49C3">
              <w:rPr>
                <w:rFonts w:ascii="Arial" w:hAnsi="Arial" w:cs="Arial"/>
                <w:sz w:val="20"/>
                <w:szCs w:val="20"/>
              </w:rPr>
              <w:t>Meeting Schedule</w:t>
            </w:r>
            <w:r w:rsidRPr="006A49C3">
              <w:rPr>
                <w:rFonts w:ascii="Arial" w:hAnsi="Arial" w:cs="Arial"/>
                <w:sz w:val="20"/>
                <w:szCs w:val="20"/>
              </w:rPr>
              <w:t xml:space="preserve"> at </w:t>
            </w:r>
            <w:r w:rsidR="007F0369" w:rsidRPr="006A49C3">
              <w:rPr>
                <w:rFonts w:ascii="Arial" w:hAnsi="Arial" w:cs="Arial"/>
                <w:sz w:val="20"/>
                <w:szCs w:val="20"/>
              </w:rPr>
              <w:t xml:space="preserve">the third Wednesday, quarterly (February, May, August, and November) from 12-2 pm </w:t>
            </w:r>
            <w:r w:rsidR="00A80BD8" w:rsidRPr="006A49C3">
              <w:rPr>
                <w:rFonts w:ascii="Arial" w:hAnsi="Arial" w:cs="Arial"/>
                <w:sz w:val="20"/>
                <w:szCs w:val="20"/>
              </w:rPr>
              <w:t>Mountain</w:t>
            </w:r>
            <w:r w:rsidR="007F0369" w:rsidRPr="006A49C3">
              <w:rPr>
                <w:rFonts w:ascii="Arial" w:hAnsi="Arial" w:cs="Arial"/>
                <w:sz w:val="20"/>
                <w:szCs w:val="20"/>
              </w:rPr>
              <w:t>.</w:t>
            </w:r>
          </w:p>
          <w:p w:rsidR="00331212" w:rsidRPr="006A49C3" w:rsidRDefault="00331212" w:rsidP="003F443F">
            <w:pPr>
              <w:pStyle w:val="ListParagraph"/>
              <w:numPr>
                <w:ilvl w:val="0"/>
                <w:numId w:val="2"/>
              </w:numPr>
              <w:ind w:right="596"/>
              <w:rPr>
                <w:rFonts w:ascii="Arial" w:hAnsi="Arial" w:cs="Arial"/>
                <w:sz w:val="20"/>
                <w:szCs w:val="20"/>
              </w:rPr>
            </w:pPr>
            <w:r w:rsidRPr="006A49C3">
              <w:rPr>
                <w:rFonts w:ascii="Arial" w:hAnsi="Arial" w:cs="Arial"/>
                <w:sz w:val="20"/>
                <w:szCs w:val="20"/>
              </w:rPr>
              <w:t xml:space="preserve">Discussed </w:t>
            </w:r>
            <w:r w:rsidR="00AE41CD" w:rsidRPr="006A49C3">
              <w:rPr>
                <w:rFonts w:ascii="Arial" w:hAnsi="Arial" w:cs="Arial"/>
                <w:sz w:val="20"/>
                <w:szCs w:val="20"/>
              </w:rPr>
              <w:t>Process and T</w:t>
            </w:r>
            <w:r w:rsidRPr="006A49C3">
              <w:rPr>
                <w:rFonts w:ascii="Arial" w:hAnsi="Arial" w:cs="Arial"/>
                <w:sz w:val="20"/>
                <w:szCs w:val="20"/>
              </w:rPr>
              <w:t>imeline</w:t>
            </w:r>
            <w:r w:rsidR="00AE41CD" w:rsidRPr="006A49C3">
              <w:rPr>
                <w:rFonts w:ascii="Arial" w:hAnsi="Arial" w:cs="Arial"/>
                <w:sz w:val="20"/>
                <w:szCs w:val="20"/>
              </w:rPr>
              <w:t xml:space="preserve"> </w:t>
            </w:r>
            <w:r w:rsidR="007F0369" w:rsidRPr="006A49C3">
              <w:rPr>
                <w:rFonts w:ascii="Arial" w:hAnsi="Arial" w:cs="Arial"/>
                <w:sz w:val="20"/>
                <w:szCs w:val="20"/>
              </w:rPr>
              <w:t>- It was determined that in-</w:t>
            </w:r>
            <w:r w:rsidRPr="006A49C3">
              <w:rPr>
                <w:rFonts w:ascii="Arial" w:hAnsi="Arial" w:cs="Arial"/>
                <w:sz w:val="20"/>
                <w:szCs w:val="20"/>
              </w:rPr>
              <w:t>person meetings would take place in May</w:t>
            </w:r>
            <w:r w:rsidR="007F0369" w:rsidRPr="006A49C3">
              <w:rPr>
                <w:rFonts w:ascii="Arial" w:hAnsi="Arial" w:cs="Arial"/>
                <w:sz w:val="20"/>
                <w:szCs w:val="20"/>
              </w:rPr>
              <w:t>, unless opportunit</w:t>
            </w:r>
            <w:r w:rsidR="00AE41CD" w:rsidRPr="006A49C3">
              <w:rPr>
                <w:rFonts w:ascii="Arial" w:hAnsi="Arial" w:cs="Arial"/>
                <w:sz w:val="20"/>
                <w:szCs w:val="20"/>
              </w:rPr>
              <w:t>ies</w:t>
            </w:r>
            <w:r w:rsidR="007F0369" w:rsidRPr="006A49C3">
              <w:rPr>
                <w:rFonts w:ascii="Arial" w:hAnsi="Arial" w:cs="Arial"/>
                <w:sz w:val="20"/>
                <w:szCs w:val="20"/>
              </w:rPr>
              <w:t xml:space="preserve"> arise</w:t>
            </w:r>
            <w:r w:rsidR="00AE41CD" w:rsidRPr="006A49C3">
              <w:rPr>
                <w:rFonts w:ascii="Arial" w:hAnsi="Arial" w:cs="Arial"/>
                <w:sz w:val="20"/>
                <w:szCs w:val="20"/>
              </w:rPr>
              <w:t xml:space="preserve"> to combine with </w:t>
            </w:r>
            <w:r w:rsidR="007F0369" w:rsidRPr="006A49C3">
              <w:rPr>
                <w:rFonts w:ascii="Arial" w:hAnsi="Arial" w:cs="Arial"/>
                <w:sz w:val="20"/>
                <w:szCs w:val="20"/>
              </w:rPr>
              <w:t>other meeting</w:t>
            </w:r>
            <w:r w:rsidR="00AE41CD" w:rsidRPr="006A49C3">
              <w:rPr>
                <w:rFonts w:ascii="Arial" w:hAnsi="Arial" w:cs="Arial"/>
                <w:sz w:val="20"/>
                <w:szCs w:val="20"/>
              </w:rPr>
              <w:t>s</w:t>
            </w:r>
            <w:r w:rsidRPr="006A49C3">
              <w:rPr>
                <w:rFonts w:ascii="Arial" w:hAnsi="Arial" w:cs="Arial"/>
                <w:sz w:val="20"/>
                <w:szCs w:val="20"/>
              </w:rPr>
              <w:t>.</w:t>
            </w:r>
          </w:p>
          <w:p w:rsidR="006A49C3" w:rsidRDefault="006A49C3" w:rsidP="003F443F">
            <w:pPr>
              <w:ind w:right="596"/>
              <w:rPr>
                <w:rFonts w:ascii="Arial" w:hAnsi="Arial" w:cs="Arial"/>
                <w:sz w:val="20"/>
                <w:szCs w:val="20"/>
              </w:rPr>
            </w:pPr>
          </w:p>
          <w:p w:rsidR="00331212" w:rsidRDefault="00331212" w:rsidP="003F443F">
            <w:pPr>
              <w:ind w:right="596"/>
              <w:rPr>
                <w:rFonts w:ascii="Arial" w:hAnsi="Arial" w:cs="Arial"/>
                <w:sz w:val="20"/>
                <w:szCs w:val="20"/>
              </w:rPr>
            </w:pPr>
            <w:r>
              <w:rPr>
                <w:rFonts w:ascii="Arial" w:hAnsi="Arial" w:cs="Arial"/>
                <w:sz w:val="20"/>
                <w:szCs w:val="20"/>
              </w:rPr>
              <w:t>The meeting minutes were compiled by C</w:t>
            </w:r>
            <w:r w:rsidR="007F0369">
              <w:rPr>
                <w:rFonts w:ascii="Arial" w:hAnsi="Arial" w:cs="Arial"/>
                <w:sz w:val="20"/>
                <w:szCs w:val="20"/>
              </w:rPr>
              <w:t>HSC</w:t>
            </w:r>
            <w:r>
              <w:rPr>
                <w:rFonts w:ascii="Arial" w:hAnsi="Arial" w:cs="Arial"/>
                <w:sz w:val="20"/>
                <w:szCs w:val="20"/>
              </w:rPr>
              <w:t xml:space="preserve"> staff and </w:t>
            </w:r>
            <w:r w:rsidR="007F0369">
              <w:rPr>
                <w:rFonts w:ascii="Arial" w:hAnsi="Arial" w:cs="Arial"/>
                <w:sz w:val="20"/>
                <w:szCs w:val="20"/>
              </w:rPr>
              <w:t>submitte</w:t>
            </w:r>
            <w:r>
              <w:rPr>
                <w:rFonts w:ascii="Arial" w:hAnsi="Arial" w:cs="Arial"/>
                <w:sz w:val="20"/>
                <w:szCs w:val="20"/>
              </w:rPr>
              <w:t>d to MDT for approval. These were then shared with participants at the meeting.</w:t>
            </w:r>
          </w:p>
          <w:p w:rsidR="00331212" w:rsidRPr="00331212" w:rsidRDefault="00331212" w:rsidP="003F443F">
            <w:pPr>
              <w:ind w:right="596"/>
              <w:rPr>
                <w:rFonts w:ascii="Arial" w:hAnsi="Arial" w:cs="Arial"/>
                <w:sz w:val="20"/>
                <w:szCs w:val="20"/>
              </w:rPr>
            </w:pPr>
          </w:p>
          <w:p w:rsidR="00331212" w:rsidRPr="00331212" w:rsidRDefault="00331212" w:rsidP="003F443F">
            <w:pPr>
              <w:ind w:right="596"/>
              <w:rPr>
                <w:rFonts w:ascii="Arial" w:hAnsi="Arial" w:cs="Arial"/>
                <w:sz w:val="20"/>
                <w:szCs w:val="20"/>
                <w:u w:val="single"/>
              </w:rPr>
            </w:pPr>
            <w:r w:rsidRPr="00331212">
              <w:rPr>
                <w:rFonts w:ascii="Arial" w:hAnsi="Arial" w:cs="Arial"/>
                <w:sz w:val="20"/>
                <w:szCs w:val="20"/>
                <w:u w:val="single"/>
              </w:rPr>
              <w:t>Board Activities</w:t>
            </w:r>
          </w:p>
          <w:p w:rsidR="00E93544" w:rsidRDefault="00E93544" w:rsidP="003F443F">
            <w:pPr>
              <w:ind w:right="596"/>
              <w:rPr>
                <w:rFonts w:ascii="Arial" w:hAnsi="Arial" w:cs="Arial"/>
                <w:sz w:val="20"/>
                <w:szCs w:val="20"/>
              </w:rPr>
            </w:pPr>
          </w:p>
          <w:p w:rsidR="00E93544" w:rsidRDefault="00E93544" w:rsidP="003F443F">
            <w:pPr>
              <w:pStyle w:val="ListParagraph"/>
              <w:numPr>
                <w:ilvl w:val="0"/>
                <w:numId w:val="3"/>
              </w:numPr>
              <w:ind w:right="596"/>
              <w:rPr>
                <w:rFonts w:ascii="Arial" w:hAnsi="Arial" w:cs="Arial"/>
                <w:sz w:val="20"/>
                <w:szCs w:val="20"/>
              </w:rPr>
            </w:pPr>
            <w:r w:rsidRPr="00331212">
              <w:rPr>
                <w:rFonts w:ascii="Arial" w:hAnsi="Arial" w:cs="Arial"/>
                <w:sz w:val="20"/>
                <w:szCs w:val="20"/>
              </w:rPr>
              <w:t>Boa</w:t>
            </w:r>
            <w:r w:rsidR="007F0369">
              <w:rPr>
                <w:rFonts w:ascii="Arial" w:hAnsi="Arial" w:cs="Arial"/>
                <w:sz w:val="20"/>
                <w:szCs w:val="20"/>
              </w:rPr>
              <w:t>r</w:t>
            </w:r>
            <w:r w:rsidRPr="00331212">
              <w:rPr>
                <w:rFonts w:ascii="Arial" w:hAnsi="Arial" w:cs="Arial"/>
                <w:sz w:val="20"/>
                <w:szCs w:val="20"/>
              </w:rPr>
              <w:t xml:space="preserve">d </w:t>
            </w:r>
            <w:r w:rsidR="007F0369">
              <w:rPr>
                <w:rFonts w:ascii="Arial" w:hAnsi="Arial" w:cs="Arial"/>
                <w:sz w:val="20"/>
                <w:szCs w:val="20"/>
              </w:rPr>
              <w:t xml:space="preserve">membership </w:t>
            </w:r>
            <w:r w:rsidRPr="00331212">
              <w:rPr>
                <w:rFonts w:ascii="Arial" w:hAnsi="Arial" w:cs="Arial"/>
                <w:sz w:val="20"/>
                <w:szCs w:val="20"/>
              </w:rPr>
              <w:t>was</w:t>
            </w:r>
            <w:r w:rsidR="00331212">
              <w:rPr>
                <w:rFonts w:ascii="Arial" w:hAnsi="Arial" w:cs="Arial"/>
                <w:sz w:val="20"/>
                <w:szCs w:val="20"/>
              </w:rPr>
              <w:t xml:space="preserve"> confirmed during November meeting</w:t>
            </w:r>
            <w:r w:rsidR="007F0369">
              <w:rPr>
                <w:rFonts w:ascii="Arial" w:hAnsi="Arial" w:cs="Arial"/>
                <w:sz w:val="20"/>
                <w:szCs w:val="20"/>
              </w:rPr>
              <w:t>.</w:t>
            </w:r>
          </w:p>
          <w:p w:rsidR="00331212" w:rsidRDefault="008E2183" w:rsidP="003F443F">
            <w:pPr>
              <w:pStyle w:val="ListParagraph"/>
              <w:numPr>
                <w:ilvl w:val="0"/>
                <w:numId w:val="3"/>
              </w:numPr>
              <w:ind w:right="596"/>
              <w:rPr>
                <w:rFonts w:ascii="Arial" w:hAnsi="Arial" w:cs="Arial"/>
                <w:sz w:val="20"/>
                <w:szCs w:val="20"/>
              </w:rPr>
            </w:pPr>
            <w:r>
              <w:rPr>
                <w:rFonts w:ascii="Arial" w:hAnsi="Arial" w:cs="Arial"/>
                <w:sz w:val="20"/>
                <w:szCs w:val="20"/>
              </w:rPr>
              <w:t>Approved support proposal via online vote</w:t>
            </w:r>
          </w:p>
          <w:p w:rsidR="002914C0" w:rsidRDefault="002914C0" w:rsidP="003F443F">
            <w:pPr>
              <w:ind w:right="596"/>
              <w:rPr>
                <w:rFonts w:ascii="Arial" w:hAnsi="Arial" w:cs="Arial"/>
                <w:sz w:val="20"/>
                <w:szCs w:val="20"/>
              </w:rPr>
            </w:pPr>
          </w:p>
          <w:p w:rsidR="00331212" w:rsidRDefault="00331212" w:rsidP="003F443F">
            <w:pPr>
              <w:ind w:right="596"/>
              <w:rPr>
                <w:rFonts w:ascii="Arial" w:hAnsi="Arial" w:cs="Arial"/>
                <w:sz w:val="20"/>
                <w:szCs w:val="20"/>
                <w:u w:val="single"/>
              </w:rPr>
            </w:pPr>
            <w:r>
              <w:rPr>
                <w:rFonts w:ascii="Arial" w:hAnsi="Arial" w:cs="Arial"/>
                <w:sz w:val="20"/>
                <w:szCs w:val="20"/>
                <w:u w:val="single"/>
              </w:rPr>
              <w:t>Program Fund Updates</w:t>
            </w:r>
          </w:p>
          <w:p w:rsidR="009764BF" w:rsidRPr="008E2183" w:rsidRDefault="008E2183" w:rsidP="003F443F">
            <w:pPr>
              <w:ind w:right="596"/>
              <w:rPr>
                <w:rFonts w:ascii="Arial" w:hAnsi="Arial" w:cs="Arial"/>
                <w:sz w:val="20"/>
                <w:szCs w:val="20"/>
              </w:rPr>
            </w:pPr>
            <w:r w:rsidRPr="008E2183">
              <w:rPr>
                <w:rFonts w:ascii="Arial" w:hAnsi="Arial" w:cs="Arial"/>
                <w:sz w:val="20"/>
                <w:szCs w:val="20"/>
              </w:rPr>
              <w:t>As of December 31</w:t>
            </w:r>
            <w:r w:rsidRPr="008E2183">
              <w:rPr>
                <w:rFonts w:ascii="Arial" w:hAnsi="Arial" w:cs="Arial"/>
                <w:sz w:val="20"/>
                <w:szCs w:val="20"/>
                <w:vertAlign w:val="superscript"/>
              </w:rPr>
              <w:t>st</w:t>
            </w:r>
            <w:r w:rsidRPr="008E2183">
              <w:rPr>
                <w:rFonts w:ascii="Arial" w:hAnsi="Arial" w:cs="Arial"/>
                <w:sz w:val="20"/>
                <w:szCs w:val="20"/>
              </w:rPr>
              <w:t xml:space="preserve">, </w:t>
            </w:r>
            <w:r>
              <w:rPr>
                <w:rFonts w:ascii="Arial" w:hAnsi="Arial" w:cs="Arial"/>
                <w:sz w:val="20"/>
                <w:szCs w:val="20"/>
              </w:rPr>
              <w:t xml:space="preserve">there are 9 participating </w:t>
            </w:r>
            <w:r w:rsidR="00AE41CD">
              <w:rPr>
                <w:rFonts w:ascii="Arial" w:hAnsi="Arial" w:cs="Arial"/>
                <w:sz w:val="20"/>
                <w:szCs w:val="20"/>
              </w:rPr>
              <w:t xml:space="preserve">states in the TPF program. </w:t>
            </w:r>
            <w:r>
              <w:rPr>
                <w:rFonts w:ascii="Arial" w:hAnsi="Arial" w:cs="Arial"/>
                <w:sz w:val="20"/>
                <w:szCs w:val="20"/>
              </w:rPr>
              <w:t>They are CT, IA, ID, LA, MT, NH, TX, UT, and</w:t>
            </w:r>
            <w:r w:rsidR="006A49C3">
              <w:rPr>
                <w:rFonts w:ascii="Arial" w:hAnsi="Arial" w:cs="Arial"/>
                <w:sz w:val="20"/>
                <w:szCs w:val="20"/>
              </w:rPr>
              <w:t xml:space="preserve"> </w:t>
            </w:r>
            <w:r w:rsidR="00AE41CD">
              <w:rPr>
                <w:rFonts w:ascii="Arial" w:hAnsi="Arial" w:cs="Arial"/>
                <w:sz w:val="20"/>
                <w:szCs w:val="20"/>
              </w:rPr>
              <w:t xml:space="preserve">WA. </w:t>
            </w:r>
            <w:r>
              <w:rPr>
                <w:rFonts w:ascii="Arial" w:hAnsi="Arial" w:cs="Arial"/>
                <w:sz w:val="20"/>
                <w:szCs w:val="20"/>
              </w:rPr>
              <w:t xml:space="preserve">These 9 states have </w:t>
            </w:r>
            <w:r w:rsidR="009764BF">
              <w:rPr>
                <w:rFonts w:ascii="Arial" w:hAnsi="Arial" w:cs="Arial"/>
                <w:sz w:val="20"/>
                <w:szCs w:val="20"/>
              </w:rPr>
              <w:t>committed</w:t>
            </w:r>
            <w:r>
              <w:rPr>
                <w:rFonts w:ascii="Arial" w:hAnsi="Arial" w:cs="Arial"/>
                <w:sz w:val="20"/>
                <w:szCs w:val="20"/>
              </w:rPr>
              <w:t xml:space="preserve"> $975,000.00 in funds over a five year period</w:t>
            </w:r>
            <w:r w:rsidR="00AE41CD">
              <w:rPr>
                <w:rFonts w:ascii="Arial" w:hAnsi="Arial" w:cs="Arial"/>
                <w:sz w:val="20"/>
                <w:szCs w:val="20"/>
              </w:rPr>
              <w:t>.</w:t>
            </w:r>
            <w:r w:rsidR="009764BF">
              <w:rPr>
                <w:rFonts w:ascii="Arial" w:hAnsi="Arial" w:cs="Arial"/>
                <w:sz w:val="20"/>
                <w:szCs w:val="20"/>
              </w:rPr>
              <w:t xml:space="preserve"> The commitments by organization can</w:t>
            </w:r>
            <w:r w:rsidR="006A49C3">
              <w:rPr>
                <w:rFonts w:ascii="Arial" w:hAnsi="Arial" w:cs="Arial"/>
                <w:sz w:val="20"/>
                <w:szCs w:val="20"/>
              </w:rPr>
              <w:t xml:space="preserve"> </w:t>
            </w:r>
            <w:r w:rsidR="009764BF">
              <w:rPr>
                <w:rFonts w:ascii="Arial" w:hAnsi="Arial" w:cs="Arial"/>
                <w:sz w:val="20"/>
                <w:szCs w:val="20"/>
              </w:rPr>
              <w:t xml:space="preserve">be found at </w:t>
            </w:r>
            <w:hyperlink r:id="rId9" w:history="1">
              <w:r w:rsidR="00AE41CD" w:rsidRPr="00434876">
                <w:rPr>
                  <w:rStyle w:val="Hyperlink"/>
                </w:rPr>
                <w:t>http://www.pooledfund.org/Details/Study/558</w:t>
              </w:r>
            </w:hyperlink>
            <w:r w:rsidR="00AE41CD">
              <w:t>.</w:t>
            </w:r>
          </w:p>
          <w:p w:rsidR="00331212" w:rsidRDefault="00331212" w:rsidP="003F443F">
            <w:pPr>
              <w:ind w:right="596"/>
              <w:rPr>
                <w:rFonts w:ascii="Arial" w:hAnsi="Arial" w:cs="Arial"/>
                <w:sz w:val="20"/>
                <w:szCs w:val="20"/>
                <w:u w:val="single"/>
              </w:rPr>
            </w:pPr>
          </w:p>
          <w:p w:rsidR="00C54D9A" w:rsidRPr="00C54D9A" w:rsidRDefault="00C54D9A" w:rsidP="003F443F">
            <w:pPr>
              <w:ind w:right="596"/>
              <w:rPr>
                <w:rFonts w:ascii="Arial" w:hAnsi="Arial" w:cs="Arial"/>
                <w:sz w:val="20"/>
                <w:szCs w:val="20"/>
                <w:u w:val="single"/>
              </w:rPr>
            </w:pPr>
            <w:r w:rsidRPr="00C54D9A">
              <w:rPr>
                <w:rFonts w:ascii="Arial" w:hAnsi="Arial" w:cs="Arial"/>
                <w:sz w:val="20"/>
                <w:szCs w:val="20"/>
                <w:u w:val="single"/>
              </w:rPr>
              <w:t>Contract Status</w:t>
            </w:r>
          </w:p>
          <w:p w:rsidR="009764BF" w:rsidRDefault="009764BF" w:rsidP="003F443F">
            <w:pPr>
              <w:ind w:right="596"/>
              <w:rPr>
                <w:rFonts w:ascii="Arial" w:hAnsi="Arial" w:cs="Arial"/>
                <w:sz w:val="20"/>
                <w:szCs w:val="20"/>
              </w:rPr>
            </w:pPr>
          </w:p>
          <w:p w:rsidR="009764BF" w:rsidRPr="009764BF" w:rsidRDefault="009764BF" w:rsidP="003F443F">
            <w:pPr>
              <w:ind w:right="596"/>
              <w:rPr>
                <w:rFonts w:ascii="Arial" w:hAnsi="Arial" w:cs="Arial"/>
                <w:i/>
                <w:sz w:val="20"/>
                <w:szCs w:val="20"/>
              </w:rPr>
            </w:pPr>
            <w:r w:rsidRPr="009764BF">
              <w:rPr>
                <w:rFonts w:ascii="Arial" w:hAnsi="Arial" w:cs="Arial"/>
                <w:i/>
                <w:sz w:val="20"/>
                <w:szCs w:val="20"/>
              </w:rPr>
              <w:t>Program Support Contract 8882-309</w:t>
            </w:r>
            <w:r w:rsidR="00AE41CD">
              <w:rPr>
                <w:rFonts w:ascii="Arial" w:hAnsi="Arial" w:cs="Arial"/>
                <w:i/>
                <w:sz w:val="20"/>
                <w:szCs w:val="20"/>
              </w:rPr>
              <w:t>-01</w:t>
            </w:r>
          </w:p>
          <w:p w:rsidR="00C261CD" w:rsidRDefault="002914C0" w:rsidP="003F443F">
            <w:pPr>
              <w:ind w:right="596"/>
              <w:rPr>
                <w:rFonts w:ascii="Arial" w:hAnsi="Arial" w:cs="Arial"/>
                <w:sz w:val="20"/>
                <w:szCs w:val="20"/>
              </w:rPr>
            </w:pPr>
            <w:r>
              <w:rPr>
                <w:rFonts w:ascii="Arial" w:hAnsi="Arial" w:cs="Arial"/>
                <w:sz w:val="20"/>
                <w:szCs w:val="20"/>
              </w:rPr>
              <w:t>Center for Health and Safety Culture</w:t>
            </w:r>
            <w:r w:rsidR="00E93544">
              <w:rPr>
                <w:rFonts w:ascii="Arial" w:hAnsi="Arial" w:cs="Arial"/>
                <w:sz w:val="20"/>
                <w:szCs w:val="20"/>
              </w:rPr>
              <w:t xml:space="preserve"> at the Western Transportation Institute</w:t>
            </w:r>
            <w:r>
              <w:rPr>
                <w:rFonts w:ascii="Arial" w:hAnsi="Arial" w:cs="Arial"/>
                <w:sz w:val="20"/>
                <w:szCs w:val="20"/>
              </w:rPr>
              <w:t xml:space="preserve"> was </w:t>
            </w:r>
            <w:r w:rsidR="00E93544">
              <w:rPr>
                <w:rFonts w:ascii="Arial" w:hAnsi="Arial" w:cs="Arial"/>
                <w:sz w:val="20"/>
                <w:szCs w:val="20"/>
              </w:rPr>
              <w:t>chosen by the</w:t>
            </w:r>
            <w:r w:rsidR="00AE41CD">
              <w:rPr>
                <w:rFonts w:ascii="Arial" w:hAnsi="Arial" w:cs="Arial"/>
                <w:sz w:val="20"/>
                <w:szCs w:val="20"/>
              </w:rPr>
              <w:t xml:space="preserve"> B</w:t>
            </w:r>
            <w:r w:rsidR="00E93544">
              <w:rPr>
                <w:rFonts w:ascii="Arial" w:hAnsi="Arial" w:cs="Arial"/>
                <w:sz w:val="20"/>
                <w:szCs w:val="20"/>
              </w:rPr>
              <w:t>oard as the Program</w:t>
            </w:r>
            <w:r w:rsidR="006A49C3">
              <w:rPr>
                <w:rFonts w:ascii="Arial" w:hAnsi="Arial" w:cs="Arial"/>
                <w:sz w:val="20"/>
                <w:szCs w:val="20"/>
              </w:rPr>
              <w:t xml:space="preserve"> </w:t>
            </w:r>
            <w:r w:rsidR="00E93544">
              <w:rPr>
                <w:rFonts w:ascii="Arial" w:hAnsi="Arial" w:cs="Arial"/>
                <w:sz w:val="20"/>
                <w:szCs w:val="20"/>
              </w:rPr>
              <w:t>Support Agency and will provide overall ongoing pooled fund support to program management, the program participants and the TSC TPF Board. The contract for this service was executed on December 2</w:t>
            </w:r>
            <w:r w:rsidR="00E93544" w:rsidRPr="00E93544">
              <w:rPr>
                <w:rFonts w:ascii="Arial" w:hAnsi="Arial" w:cs="Arial"/>
                <w:sz w:val="20"/>
                <w:szCs w:val="20"/>
                <w:vertAlign w:val="superscript"/>
              </w:rPr>
              <w:t>nd</w:t>
            </w:r>
            <w:r w:rsidR="00E93544">
              <w:rPr>
                <w:rFonts w:ascii="Arial" w:hAnsi="Arial" w:cs="Arial"/>
                <w:sz w:val="20"/>
                <w:szCs w:val="20"/>
              </w:rPr>
              <w:t>, 2014.  The contract is for support services from November 1</w:t>
            </w:r>
            <w:r w:rsidR="00E93544" w:rsidRPr="00E93544">
              <w:rPr>
                <w:rFonts w:ascii="Arial" w:hAnsi="Arial" w:cs="Arial"/>
                <w:sz w:val="20"/>
                <w:szCs w:val="20"/>
                <w:vertAlign w:val="superscript"/>
              </w:rPr>
              <w:t>st</w:t>
            </w:r>
            <w:r w:rsidR="00E93544">
              <w:rPr>
                <w:rFonts w:ascii="Arial" w:hAnsi="Arial" w:cs="Arial"/>
                <w:sz w:val="20"/>
                <w:szCs w:val="20"/>
              </w:rPr>
              <w:t>, 2014 until October 31</w:t>
            </w:r>
            <w:r w:rsidR="00E93544" w:rsidRPr="00E93544">
              <w:rPr>
                <w:rFonts w:ascii="Arial" w:hAnsi="Arial" w:cs="Arial"/>
                <w:sz w:val="20"/>
                <w:szCs w:val="20"/>
                <w:vertAlign w:val="superscript"/>
              </w:rPr>
              <w:t>st</w:t>
            </w:r>
            <w:r w:rsidR="00E93544">
              <w:rPr>
                <w:rFonts w:ascii="Arial" w:hAnsi="Arial" w:cs="Arial"/>
                <w:sz w:val="20"/>
                <w:szCs w:val="20"/>
              </w:rPr>
              <w:t xml:space="preserve">, 2015. </w:t>
            </w:r>
            <w:r w:rsidR="00AE41CD">
              <w:rPr>
                <w:rFonts w:ascii="Arial" w:hAnsi="Arial" w:cs="Arial"/>
                <w:sz w:val="20"/>
                <w:szCs w:val="20"/>
              </w:rPr>
              <w:t>CHSC</w:t>
            </w:r>
            <w:r w:rsidR="00C261CD">
              <w:rPr>
                <w:rFonts w:ascii="Arial" w:hAnsi="Arial" w:cs="Arial"/>
                <w:sz w:val="20"/>
                <w:szCs w:val="20"/>
              </w:rPr>
              <w:t xml:space="preserve"> will seek to renew this </w:t>
            </w:r>
            <w:r w:rsidR="00C261CD">
              <w:rPr>
                <w:rFonts w:ascii="Arial" w:hAnsi="Arial" w:cs="Arial"/>
                <w:sz w:val="20"/>
                <w:szCs w:val="20"/>
              </w:rPr>
              <w:lastRenderedPageBreak/>
              <w:t xml:space="preserve">contract with the program every FFY. </w:t>
            </w:r>
            <w:r w:rsidR="00E93544">
              <w:rPr>
                <w:rFonts w:ascii="Arial" w:hAnsi="Arial" w:cs="Arial"/>
                <w:sz w:val="20"/>
                <w:szCs w:val="20"/>
              </w:rPr>
              <w:t>The contract is the only open project under program and costs for</w:t>
            </w:r>
            <w:r w:rsidR="00AE41CD">
              <w:rPr>
                <w:rFonts w:ascii="Arial" w:hAnsi="Arial" w:cs="Arial"/>
                <w:sz w:val="20"/>
                <w:szCs w:val="20"/>
              </w:rPr>
              <w:t xml:space="preserve"> this service total $64,605.10.</w:t>
            </w:r>
            <w:r w:rsidR="00E93544">
              <w:rPr>
                <w:rFonts w:ascii="Arial" w:hAnsi="Arial" w:cs="Arial"/>
                <w:sz w:val="20"/>
                <w:szCs w:val="20"/>
              </w:rPr>
              <w:t xml:space="preserve"> </w:t>
            </w:r>
            <w:r w:rsidR="00C261CD">
              <w:rPr>
                <w:rFonts w:ascii="Arial" w:hAnsi="Arial" w:cs="Arial"/>
                <w:sz w:val="20"/>
                <w:szCs w:val="20"/>
              </w:rPr>
              <w:t>The following</w:t>
            </w:r>
            <w:r w:rsidR="006A49C3">
              <w:rPr>
                <w:rFonts w:ascii="Arial" w:hAnsi="Arial" w:cs="Arial"/>
                <w:sz w:val="20"/>
                <w:szCs w:val="20"/>
              </w:rPr>
              <w:t xml:space="preserve"> </w:t>
            </w:r>
            <w:r w:rsidR="00C261CD">
              <w:rPr>
                <w:rFonts w:ascii="Arial" w:hAnsi="Arial" w:cs="Arial"/>
                <w:sz w:val="20"/>
                <w:szCs w:val="20"/>
              </w:rPr>
              <w:t>is a list of task the Center will perform for the program:</w:t>
            </w:r>
          </w:p>
          <w:p w:rsidR="008E2183" w:rsidRPr="008E2183" w:rsidRDefault="00C261CD" w:rsidP="003F443F">
            <w:pPr>
              <w:pStyle w:val="ListParagraph"/>
              <w:numPr>
                <w:ilvl w:val="0"/>
                <w:numId w:val="1"/>
              </w:numPr>
              <w:ind w:right="596"/>
              <w:rPr>
                <w:rFonts w:ascii="Arial" w:hAnsi="Arial" w:cs="Arial"/>
                <w:sz w:val="20"/>
                <w:szCs w:val="20"/>
              </w:rPr>
            </w:pPr>
            <w:r>
              <w:rPr>
                <w:rFonts w:ascii="Arial" w:hAnsi="Arial" w:cs="Arial"/>
                <w:sz w:val="20"/>
                <w:szCs w:val="20"/>
              </w:rPr>
              <w:t>Task 1: Meeting Support includes onl</w:t>
            </w:r>
            <w:r w:rsidR="00AE41CD">
              <w:rPr>
                <w:rFonts w:ascii="Arial" w:hAnsi="Arial" w:cs="Arial"/>
                <w:sz w:val="20"/>
                <w:szCs w:val="20"/>
              </w:rPr>
              <w:t>ine and face to face meetings.</w:t>
            </w:r>
          </w:p>
          <w:p w:rsidR="00C261CD" w:rsidRDefault="00C261CD" w:rsidP="003F443F">
            <w:pPr>
              <w:pStyle w:val="ListParagraph"/>
              <w:numPr>
                <w:ilvl w:val="0"/>
                <w:numId w:val="1"/>
              </w:numPr>
              <w:ind w:right="596"/>
              <w:rPr>
                <w:rFonts w:ascii="Arial" w:hAnsi="Arial" w:cs="Arial"/>
                <w:sz w:val="20"/>
                <w:szCs w:val="20"/>
              </w:rPr>
            </w:pPr>
            <w:r>
              <w:rPr>
                <w:rFonts w:ascii="Arial" w:hAnsi="Arial" w:cs="Arial"/>
                <w:sz w:val="20"/>
                <w:szCs w:val="20"/>
              </w:rPr>
              <w:t>Task 2: Report Writing Support</w:t>
            </w:r>
          </w:p>
          <w:p w:rsidR="00C261CD" w:rsidRDefault="00C261CD" w:rsidP="003F443F">
            <w:pPr>
              <w:pStyle w:val="ListParagraph"/>
              <w:numPr>
                <w:ilvl w:val="0"/>
                <w:numId w:val="1"/>
              </w:numPr>
              <w:ind w:right="596"/>
              <w:rPr>
                <w:rFonts w:ascii="Arial" w:hAnsi="Arial" w:cs="Arial"/>
                <w:sz w:val="20"/>
                <w:szCs w:val="20"/>
              </w:rPr>
            </w:pPr>
            <w:r>
              <w:rPr>
                <w:rFonts w:ascii="Arial" w:hAnsi="Arial" w:cs="Arial"/>
                <w:sz w:val="20"/>
                <w:szCs w:val="20"/>
              </w:rPr>
              <w:t>Task 3: Support the Dissemination of Materials through the Website</w:t>
            </w:r>
          </w:p>
          <w:p w:rsidR="00C261CD" w:rsidRDefault="00C261CD" w:rsidP="003F443F">
            <w:pPr>
              <w:pStyle w:val="ListParagraph"/>
              <w:numPr>
                <w:ilvl w:val="0"/>
                <w:numId w:val="1"/>
              </w:numPr>
              <w:ind w:right="596"/>
              <w:rPr>
                <w:rFonts w:ascii="Arial" w:hAnsi="Arial" w:cs="Arial"/>
                <w:sz w:val="20"/>
                <w:szCs w:val="20"/>
              </w:rPr>
            </w:pPr>
            <w:r>
              <w:rPr>
                <w:rFonts w:ascii="Arial" w:hAnsi="Arial" w:cs="Arial"/>
                <w:sz w:val="20"/>
                <w:szCs w:val="20"/>
              </w:rPr>
              <w:t xml:space="preserve">Task 4: Support </w:t>
            </w:r>
            <w:r w:rsidR="00AE41CD">
              <w:rPr>
                <w:rFonts w:ascii="Arial" w:hAnsi="Arial" w:cs="Arial"/>
                <w:sz w:val="20"/>
                <w:szCs w:val="20"/>
              </w:rPr>
              <w:t>O</w:t>
            </w:r>
            <w:r>
              <w:rPr>
                <w:rFonts w:ascii="Arial" w:hAnsi="Arial" w:cs="Arial"/>
                <w:sz w:val="20"/>
                <w:szCs w:val="20"/>
              </w:rPr>
              <w:t>utreach and Awareness</w:t>
            </w:r>
          </w:p>
          <w:p w:rsidR="00C261CD" w:rsidRDefault="00C261CD" w:rsidP="003F443F">
            <w:pPr>
              <w:pStyle w:val="ListParagraph"/>
              <w:numPr>
                <w:ilvl w:val="0"/>
                <w:numId w:val="1"/>
              </w:numPr>
              <w:ind w:right="596"/>
              <w:rPr>
                <w:rFonts w:ascii="Arial" w:hAnsi="Arial" w:cs="Arial"/>
                <w:sz w:val="20"/>
                <w:szCs w:val="20"/>
              </w:rPr>
            </w:pPr>
            <w:r>
              <w:rPr>
                <w:rFonts w:ascii="Arial" w:hAnsi="Arial" w:cs="Arial"/>
                <w:sz w:val="20"/>
                <w:szCs w:val="20"/>
              </w:rPr>
              <w:t>Task</w:t>
            </w:r>
            <w:r w:rsidR="00AE41CD">
              <w:rPr>
                <w:rFonts w:ascii="Arial" w:hAnsi="Arial" w:cs="Arial"/>
                <w:sz w:val="20"/>
                <w:szCs w:val="20"/>
              </w:rPr>
              <w:t xml:space="preserve"> </w:t>
            </w:r>
            <w:r>
              <w:rPr>
                <w:rFonts w:ascii="Arial" w:hAnsi="Arial" w:cs="Arial"/>
                <w:sz w:val="20"/>
                <w:szCs w:val="20"/>
              </w:rPr>
              <w:t>5: Support Work Plan and Project Development</w:t>
            </w:r>
          </w:p>
          <w:p w:rsidR="00C261CD" w:rsidRPr="006A49C3" w:rsidRDefault="00C261CD" w:rsidP="003F443F">
            <w:pPr>
              <w:pStyle w:val="ListParagraph"/>
              <w:numPr>
                <w:ilvl w:val="0"/>
                <w:numId w:val="1"/>
              </w:numPr>
              <w:ind w:right="596"/>
              <w:rPr>
                <w:rFonts w:ascii="Arial" w:hAnsi="Arial" w:cs="Arial"/>
                <w:sz w:val="20"/>
                <w:szCs w:val="20"/>
              </w:rPr>
            </w:pPr>
            <w:r w:rsidRPr="006A49C3">
              <w:rPr>
                <w:rFonts w:ascii="Arial" w:hAnsi="Arial" w:cs="Arial"/>
                <w:sz w:val="20"/>
                <w:szCs w:val="20"/>
              </w:rPr>
              <w:t>Task 6: Reimburse Pooled Fund Members Travel</w:t>
            </w:r>
            <w:r w:rsidR="00AE41CD" w:rsidRPr="006A49C3">
              <w:rPr>
                <w:rFonts w:ascii="Arial" w:hAnsi="Arial" w:cs="Arial"/>
                <w:sz w:val="20"/>
                <w:szCs w:val="20"/>
              </w:rPr>
              <w:t xml:space="preserve"> </w:t>
            </w:r>
            <w:r w:rsidRPr="006A49C3">
              <w:rPr>
                <w:rFonts w:ascii="Arial" w:hAnsi="Arial" w:cs="Arial"/>
                <w:sz w:val="20"/>
                <w:szCs w:val="20"/>
              </w:rPr>
              <w:t>- This task covers the reimbursement of travel for 9 board members and the program manager from MDT</w:t>
            </w:r>
            <w:r w:rsidR="00AE41CD" w:rsidRPr="006A49C3">
              <w:rPr>
                <w:rFonts w:ascii="Arial" w:hAnsi="Arial" w:cs="Arial"/>
                <w:sz w:val="20"/>
                <w:szCs w:val="20"/>
              </w:rPr>
              <w:t>.</w:t>
            </w:r>
          </w:p>
          <w:p w:rsidR="00AE41CD" w:rsidRDefault="00AE41CD" w:rsidP="003F443F">
            <w:pPr>
              <w:pStyle w:val="ListParagraph"/>
              <w:ind w:right="596"/>
              <w:rPr>
                <w:rFonts w:ascii="Arial" w:hAnsi="Arial" w:cs="Arial"/>
                <w:sz w:val="20"/>
                <w:szCs w:val="20"/>
              </w:rPr>
            </w:pPr>
          </w:p>
          <w:p w:rsidR="00AE41CD" w:rsidRPr="00AE41CD" w:rsidRDefault="00AE41CD" w:rsidP="003F443F">
            <w:pPr>
              <w:ind w:right="596"/>
              <w:rPr>
                <w:rFonts w:ascii="Arial" w:hAnsi="Arial" w:cs="Arial"/>
                <w:sz w:val="20"/>
                <w:szCs w:val="20"/>
              </w:rPr>
            </w:pPr>
            <w:r>
              <w:rPr>
                <w:rFonts w:ascii="Arial" w:hAnsi="Arial" w:cs="Arial"/>
                <w:sz w:val="20"/>
                <w:szCs w:val="20"/>
              </w:rPr>
              <w:t>The support proposal also covers travel for two CHSC staff, including one technical and one support staff.</w:t>
            </w:r>
          </w:p>
          <w:p w:rsidR="00601EBD" w:rsidRDefault="00601EBD" w:rsidP="003F443F">
            <w:pPr>
              <w:ind w:right="596"/>
              <w:rPr>
                <w:rFonts w:ascii="Arial" w:hAnsi="Arial" w:cs="Arial"/>
                <w:sz w:val="20"/>
                <w:szCs w:val="20"/>
              </w:rPr>
            </w:pPr>
          </w:p>
          <w:p w:rsidR="009764BF" w:rsidRDefault="00331212" w:rsidP="003F443F">
            <w:pPr>
              <w:ind w:right="596"/>
              <w:rPr>
                <w:rFonts w:ascii="Arial" w:hAnsi="Arial" w:cs="Arial"/>
                <w:sz w:val="20"/>
                <w:szCs w:val="20"/>
              </w:rPr>
            </w:pPr>
            <w:r>
              <w:rPr>
                <w:rFonts w:ascii="Arial" w:hAnsi="Arial" w:cs="Arial"/>
                <w:sz w:val="20"/>
                <w:szCs w:val="20"/>
              </w:rPr>
              <w:t xml:space="preserve">As part of this work, the Center staff has completed a more detailed scope of work for two of the proposed projects, </w:t>
            </w:r>
            <w:r w:rsidR="008E2183">
              <w:rPr>
                <w:rFonts w:ascii="Arial" w:hAnsi="Arial" w:cs="Arial"/>
                <w:sz w:val="20"/>
                <w:szCs w:val="20"/>
              </w:rPr>
              <w:t>Cannabis</w:t>
            </w:r>
            <w:r>
              <w:rPr>
                <w:rFonts w:ascii="Arial" w:hAnsi="Arial" w:cs="Arial"/>
                <w:sz w:val="20"/>
                <w:szCs w:val="20"/>
              </w:rPr>
              <w:t xml:space="preserve"> </w:t>
            </w:r>
            <w:r w:rsidR="00AE41CD">
              <w:rPr>
                <w:rFonts w:ascii="Arial" w:hAnsi="Arial" w:cs="Arial"/>
                <w:sz w:val="20"/>
                <w:szCs w:val="20"/>
              </w:rPr>
              <w:t>C</w:t>
            </w:r>
            <w:r>
              <w:rPr>
                <w:rFonts w:ascii="Arial" w:hAnsi="Arial" w:cs="Arial"/>
                <w:sz w:val="20"/>
                <w:szCs w:val="20"/>
              </w:rPr>
              <w:t xml:space="preserve">ulture and Engagement in Traffic Safety. These project </w:t>
            </w:r>
            <w:r w:rsidR="008E2183">
              <w:rPr>
                <w:rFonts w:ascii="Arial" w:hAnsi="Arial" w:cs="Arial"/>
                <w:sz w:val="20"/>
                <w:szCs w:val="20"/>
              </w:rPr>
              <w:t>proposals were shared with the program manager and</w:t>
            </w:r>
            <w:r w:rsidR="006A49C3">
              <w:rPr>
                <w:rFonts w:ascii="Arial" w:hAnsi="Arial" w:cs="Arial"/>
                <w:sz w:val="20"/>
                <w:szCs w:val="20"/>
              </w:rPr>
              <w:t xml:space="preserve"> </w:t>
            </w:r>
            <w:r w:rsidR="008E2183">
              <w:rPr>
                <w:rFonts w:ascii="Arial" w:hAnsi="Arial" w:cs="Arial"/>
                <w:sz w:val="20"/>
                <w:szCs w:val="20"/>
              </w:rPr>
              <w:t>will be reviewed with the board members during an informal meeting at TRB on January 12</w:t>
            </w:r>
            <w:r w:rsidR="008E2183" w:rsidRPr="008E2183">
              <w:rPr>
                <w:rFonts w:ascii="Arial" w:hAnsi="Arial" w:cs="Arial"/>
                <w:sz w:val="20"/>
                <w:szCs w:val="20"/>
                <w:vertAlign w:val="superscript"/>
              </w:rPr>
              <w:t>th</w:t>
            </w:r>
            <w:r w:rsidR="008E2183">
              <w:rPr>
                <w:rFonts w:ascii="Arial" w:hAnsi="Arial" w:cs="Arial"/>
                <w:sz w:val="20"/>
                <w:szCs w:val="20"/>
              </w:rPr>
              <w:t xml:space="preserve">. </w:t>
            </w:r>
            <w:r w:rsidR="009764BF">
              <w:rPr>
                <w:rFonts w:ascii="Arial" w:hAnsi="Arial" w:cs="Arial"/>
                <w:sz w:val="20"/>
                <w:szCs w:val="20"/>
              </w:rPr>
              <w:t>The Center has also provided meeting support.</w:t>
            </w:r>
          </w:p>
          <w:p w:rsidR="009764BF" w:rsidRDefault="009764BF" w:rsidP="00551D8A">
            <w:pPr>
              <w:ind w:right="-720"/>
              <w:rPr>
                <w:rFonts w:ascii="Arial" w:hAnsi="Arial" w:cs="Arial"/>
                <w:sz w:val="20"/>
                <w:szCs w:val="20"/>
              </w:rPr>
            </w:pPr>
          </w:p>
          <w:p w:rsidR="009764BF" w:rsidRDefault="00D96BEA" w:rsidP="00551D8A">
            <w:pPr>
              <w:ind w:right="-720"/>
              <w:rPr>
                <w:rFonts w:ascii="Arial" w:hAnsi="Arial" w:cs="Arial"/>
                <w:sz w:val="20"/>
                <w:szCs w:val="20"/>
              </w:rPr>
            </w:pPr>
            <w:r>
              <w:rPr>
                <w:rFonts w:ascii="Arial" w:hAnsi="Arial" w:cs="Arial"/>
                <w:sz w:val="20"/>
                <w:szCs w:val="20"/>
              </w:rPr>
              <w:t>Progress Schedule S</w:t>
            </w:r>
            <w:r w:rsidR="009764BF">
              <w:rPr>
                <w:rFonts w:ascii="Arial" w:hAnsi="Arial" w:cs="Arial"/>
                <w:sz w:val="20"/>
                <w:szCs w:val="20"/>
              </w:rPr>
              <w:t>tatus</w:t>
            </w: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4213"/>
              <w:gridCol w:w="1057"/>
              <w:gridCol w:w="538"/>
              <w:gridCol w:w="510"/>
              <w:gridCol w:w="509"/>
              <w:gridCol w:w="517"/>
              <w:gridCol w:w="541"/>
              <w:gridCol w:w="535"/>
              <w:gridCol w:w="562"/>
              <w:gridCol w:w="483"/>
              <w:gridCol w:w="473"/>
              <w:gridCol w:w="537"/>
              <w:gridCol w:w="551"/>
            </w:tblGrid>
            <w:tr w:rsidR="00BB3256" w:rsidRPr="00570524" w:rsidTr="00D96BEA">
              <w:tc>
                <w:tcPr>
                  <w:tcW w:w="4213" w:type="dxa"/>
                  <w:vMerge w:val="restart"/>
                  <w:shd w:val="clear" w:color="auto" w:fill="D9D9D9" w:themeFill="background1" w:themeFillShade="D9"/>
                  <w:vAlign w:val="bottom"/>
                </w:tcPr>
                <w:p w:rsidR="00BB3256" w:rsidRPr="00570524" w:rsidRDefault="00BB3256" w:rsidP="00BB3256">
                  <w:pPr>
                    <w:rPr>
                      <w:b/>
                    </w:rPr>
                  </w:pPr>
                  <w:r w:rsidRPr="00570524">
                    <w:rPr>
                      <w:b/>
                    </w:rPr>
                    <w:t>Activity</w:t>
                  </w:r>
                </w:p>
              </w:tc>
              <w:tc>
                <w:tcPr>
                  <w:tcW w:w="1057" w:type="dxa"/>
                  <w:vMerge w:val="restart"/>
                  <w:shd w:val="clear" w:color="auto" w:fill="D9D9D9" w:themeFill="background1" w:themeFillShade="D9"/>
                  <w:vAlign w:val="bottom"/>
                </w:tcPr>
                <w:p w:rsidR="00BB3256" w:rsidRPr="00570524" w:rsidRDefault="00BB3256" w:rsidP="00BB3256">
                  <w:pPr>
                    <w:jc w:val="center"/>
                    <w:rPr>
                      <w:sz w:val="20"/>
                    </w:rPr>
                  </w:pPr>
                  <w:r w:rsidRPr="00570524">
                    <w:rPr>
                      <w:sz w:val="20"/>
                    </w:rPr>
                    <w:t>Percent</w:t>
                  </w:r>
                </w:p>
                <w:p w:rsidR="00BB3256" w:rsidRPr="00570524" w:rsidRDefault="00BB3256" w:rsidP="00BB3256">
                  <w:pPr>
                    <w:jc w:val="center"/>
                    <w:rPr>
                      <w:b/>
                    </w:rPr>
                  </w:pPr>
                  <w:r w:rsidRPr="00570524">
                    <w:rPr>
                      <w:sz w:val="20"/>
                    </w:rPr>
                    <w:t>Complete</w:t>
                  </w:r>
                </w:p>
              </w:tc>
              <w:tc>
                <w:tcPr>
                  <w:tcW w:w="5756" w:type="dxa"/>
                  <w:gridSpan w:val="11"/>
                  <w:shd w:val="clear" w:color="auto" w:fill="D9D9D9" w:themeFill="background1" w:themeFillShade="D9"/>
                </w:tcPr>
                <w:p w:rsidR="00BB3256" w:rsidRPr="00570524" w:rsidRDefault="00BB3256" w:rsidP="00BB3256">
                  <w:pPr>
                    <w:jc w:val="center"/>
                    <w:rPr>
                      <w:b/>
                    </w:rPr>
                  </w:pPr>
                  <w:r w:rsidRPr="00570524">
                    <w:rPr>
                      <w:b/>
                    </w:rPr>
                    <w:t>Year 1 - Month</w:t>
                  </w:r>
                </w:p>
              </w:tc>
            </w:tr>
            <w:tr w:rsidR="00BB3256" w:rsidRPr="00570524" w:rsidTr="00D96BEA">
              <w:tc>
                <w:tcPr>
                  <w:tcW w:w="4213" w:type="dxa"/>
                  <w:vMerge/>
                  <w:shd w:val="clear" w:color="auto" w:fill="D9D9D9" w:themeFill="background1" w:themeFillShade="D9"/>
                </w:tcPr>
                <w:p w:rsidR="00BB3256" w:rsidRPr="00570524" w:rsidRDefault="00BB3256" w:rsidP="00BB3256">
                  <w:pPr>
                    <w:rPr>
                      <w:b/>
                    </w:rPr>
                  </w:pPr>
                </w:p>
              </w:tc>
              <w:tc>
                <w:tcPr>
                  <w:tcW w:w="1057" w:type="dxa"/>
                  <w:vMerge/>
                  <w:shd w:val="clear" w:color="auto" w:fill="D9D9D9" w:themeFill="background1" w:themeFillShade="D9"/>
                </w:tcPr>
                <w:p w:rsidR="00BB3256" w:rsidRPr="00570524" w:rsidRDefault="00BB3256" w:rsidP="00BB3256">
                  <w:pPr>
                    <w:rPr>
                      <w:b/>
                    </w:rPr>
                  </w:pPr>
                </w:p>
              </w:tc>
              <w:tc>
                <w:tcPr>
                  <w:tcW w:w="538" w:type="dxa"/>
                  <w:shd w:val="clear" w:color="auto" w:fill="D9D9D9" w:themeFill="background1" w:themeFillShade="D9"/>
                  <w:vAlign w:val="bottom"/>
                </w:tcPr>
                <w:p w:rsidR="00BB3256" w:rsidRPr="00570524" w:rsidRDefault="00BB3256" w:rsidP="00BB3256">
                  <w:pPr>
                    <w:jc w:val="center"/>
                    <w:rPr>
                      <w:b/>
                      <w:sz w:val="18"/>
                    </w:rPr>
                  </w:pPr>
                  <w:r>
                    <w:rPr>
                      <w:b/>
                      <w:sz w:val="18"/>
                    </w:rPr>
                    <w:t>Nov</w:t>
                  </w:r>
                </w:p>
              </w:tc>
              <w:tc>
                <w:tcPr>
                  <w:tcW w:w="510" w:type="dxa"/>
                  <w:shd w:val="clear" w:color="auto" w:fill="D9D9D9" w:themeFill="background1" w:themeFillShade="D9"/>
                </w:tcPr>
                <w:p w:rsidR="00BB3256" w:rsidRPr="00570524" w:rsidRDefault="00BB3256" w:rsidP="00BB3256">
                  <w:pPr>
                    <w:jc w:val="center"/>
                    <w:rPr>
                      <w:b/>
                      <w:sz w:val="18"/>
                    </w:rPr>
                  </w:pPr>
                  <w:r>
                    <w:rPr>
                      <w:b/>
                      <w:sz w:val="18"/>
                    </w:rPr>
                    <w:t>Dec</w:t>
                  </w:r>
                </w:p>
              </w:tc>
              <w:tc>
                <w:tcPr>
                  <w:tcW w:w="509" w:type="dxa"/>
                  <w:shd w:val="clear" w:color="auto" w:fill="D9D9D9" w:themeFill="background1" w:themeFillShade="D9"/>
                </w:tcPr>
                <w:p w:rsidR="00BB3256" w:rsidRPr="00570524" w:rsidRDefault="00BB3256" w:rsidP="00BB3256">
                  <w:pPr>
                    <w:jc w:val="center"/>
                    <w:rPr>
                      <w:b/>
                      <w:sz w:val="18"/>
                    </w:rPr>
                  </w:pPr>
                  <w:r>
                    <w:rPr>
                      <w:b/>
                      <w:sz w:val="18"/>
                    </w:rPr>
                    <w:t>Jan</w:t>
                  </w:r>
                </w:p>
              </w:tc>
              <w:tc>
                <w:tcPr>
                  <w:tcW w:w="517" w:type="dxa"/>
                  <w:shd w:val="clear" w:color="auto" w:fill="D9D9D9" w:themeFill="background1" w:themeFillShade="D9"/>
                </w:tcPr>
                <w:p w:rsidR="00BB3256" w:rsidRPr="00570524" w:rsidRDefault="00BB3256" w:rsidP="00BB3256">
                  <w:pPr>
                    <w:jc w:val="center"/>
                    <w:rPr>
                      <w:b/>
                      <w:sz w:val="18"/>
                    </w:rPr>
                  </w:pPr>
                  <w:r>
                    <w:rPr>
                      <w:b/>
                      <w:sz w:val="18"/>
                    </w:rPr>
                    <w:t>Feb</w:t>
                  </w:r>
                </w:p>
              </w:tc>
              <w:tc>
                <w:tcPr>
                  <w:tcW w:w="541" w:type="dxa"/>
                  <w:shd w:val="clear" w:color="auto" w:fill="D9D9D9" w:themeFill="background1" w:themeFillShade="D9"/>
                </w:tcPr>
                <w:p w:rsidR="00BB3256" w:rsidRPr="00570524" w:rsidRDefault="00BB3256" w:rsidP="00BB3256">
                  <w:pPr>
                    <w:jc w:val="center"/>
                    <w:rPr>
                      <w:b/>
                      <w:sz w:val="18"/>
                    </w:rPr>
                  </w:pPr>
                  <w:r>
                    <w:rPr>
                      <w:b/>
                      <w:sz w:val="18"/>
                    </w:rPr>
                    <w:t>Mar</w:t>
                  </w:r>
                </w:p>
              </w:tc>
              <w:tc>
                <w:tcPr>
                  <w:tcW w:w="535" w:type="dxa"/>
                  <w:shd w:val="clear" w:color="auto" w:fill="D9D9D9" w:themeFill="background1" w:themeFillShade="D9"/>
                  <w:vAlign w:val="bottom"/>
                </w:tcPr>
                <w:p w:rsidR="00BB3256" w:rsidRPr="00570524" w:rsidRDefault="00BB3256" w:rsidP="00BB3256">
                  <w:pPr>
                    <w:jc w:val="center"/>
                    <w:rPr>
                      <w:b/>
                      <w:sz w:val="18"/>
                    </w:rPr>
                  </w:pPr>
                  <w:r>
                    <w:rPr>
                      <w:b/>
                      <w:sz w:val="18"/>
                    </w:rPr>
                    <w:t>Apr</w:t>
                  </w:r>
                </w:p>
              </w:tc>
              <w:tc>
                <w:tcPr>
                  <w:tcW w:w="562" w:type="dxa"/>
                  <w:shd w:val="clear" w:color="auto" w:fill="D9D9D9" w:themeFill="background1" w:themeFillShade="D9"/>
                  <w:vAlign w:val="bottom"/>
                </w:tcPr>
                <w:p w:rsidR="00BB3256" w:rsidRPr="00570524" w:rsidRDefault="00BB3256" w:rsidP="00BB3256">
                  <w:pPr>
                    <w:jc w:val="center"/>
                    <w:rPr>
                      <w:b/>
                      <w:sz w:val="18"/>
                    </w:rPr>
                  </w:pPr>
                  <w:r>
                    <w:rPr>
                      <w:b/>
                      <w:sz w:val="18"/>
                    </w:rPr>
                    <w:t>May</w:t>
                  </w:r>
                </w:p>
              </w:tc>
              <w:tc>
                <w:tcPr>
                  <w:tcW w:w="483" w:type="dxa"/>
                  <w:tcBorders>
                    <w:bottom w:val="single" w:sz="4" w:space="0" w:color="auto"/>
                  </w:tcBorders>
                  <w:shd w:val="clear" w:color="auto" w:fill="D9D9D9" w:themeFill="background1" w:themeFillShade="D9"/>
                  <w:vAlign w:val="bottom"/>
                </w:tcPr>
                <w:p w:rsidR="00BB3256" w:rsidRPr="00570524" w:rsidRDefault="00BB3256" w:rsidP="00BB3256">
                  <w:pPr>
                    <w:jc w:val="center"/>
                    <w:rPr>
                      <w:b/>
                      <w:sz w:val="18"/>
                    </w:rPr>
                  </w:pPr>
                  <w:r>
                    <w:rPr>
                      <w:b/>
                      <w:sz w:val="18"/>
                    </w:rPr>
                    <w:t>Jun</w:t>
                  </w:r>
                </w:p>
              </w:tc>
              <w:tc>
                <w:tcPr>
                  <w:tcW w:w="473" w:type="dxa"/>
                  <w:shd w:val="clear" w:color="auto" w:fill="D9D9D9" w:themeFill="background1" w:themeFillShade="D9"/>
                  <w:vAlign w:val="bottom"/>
                </w:tcPr>
                <w:p w:rsidR="00BB3256" w:rsidRPr="00570524" w:rsidRDefault="00BB3256" w:rsidP="00BB3256">
                  <w:pPr>
                    <w:jc w:val="center"/>
                    <w:rPr>
                      <w:b/>
                      <w:sz w:val="18"/>
                    </w:rPr>
                  </w:pPr>
                  <w:r>
                    <w:rPr>
                      <w:b/>
                      <w:sz w:val="18"/>
                    </w:rPr>
                    <w:t>Jul</w:t>
                  </w:r>
                </w:p>
              </w:tc>
              <w:tc>
                <w:tcPr>
                  <w:tcW w:w="537" w:type="dxa"/>
                  <w:shd w:val="clear" w:color="auto" w:fill="D9D9D9" w:themeFill="background1" w:themeFillShade="D9"/>
                  <w:vAlign w:val="bottom"/>
                </w:tcPr>
                <w:p w:rsidR="00BB3256" w:rsidRPr="00570524" w:rsidRDefault="00BB3256" w:rsidP="00BB3256">
                  <w:pPr>
                    <w:jc w:val="center"/>
                    <w:rPr>
                      <w:b/>
                      <w:sz w:val="18"/>
                    </w:rPr>
                  </w:pPr>
                  <w:r>
                    <w:rPr>
                      <w:b/>
                      <w:sz w:val="18"/>
                    </w:rPr>
                    <w:t>Aug</w:t>
                  </w:r>
                </w:p>
              </w:tc>
              <w:tc>
                <w:tcPr>
                  <w:tcW w:w="551" w:type="dxa"/>
                  <w:shd w:val="clear" w:color="auto" w:fill="D9D9D9" w:themeFill="background1" w:themeFillShade="D9"/>
                  <w:vAlign w:val="bottom"/>
                </w:tcPr>
                <w:p w:rsidR="00BB3256" w:rsidRPr="00570524" w:rsidRDefault="00BB3256" w:rsidP="00BB3256">
                  <w:pPr>
                    <w:jc w:val="center"/>
                    <w:rPr>
                      <w:b/>
                      <w:sz w:val="18"/>
                    </w:rPr>
                  </w:pPr>
                  <w:r>
                    <w:rPr>
                      <w:b/>
                      <w:sz w:val="18"/>
                    </w:rPr>
                    <w:t>Sep.</w:t>
                  </w:r>
                </w:p>
              </w:tc>
            </w:tr>
            <w:tr w:rsidR="00BB3256" w:rsidRPr="00570524" w:rsidTr="00D96BEA">
              <w:tc>
                <w:tcPr>
                  <w:tcW w:w="4213" w:type="dxa"/>
                </w:tcPr>
                <w:p w:rsidR="00BB3256" w:rsidRPr="00570524" w:rsidRDefault="00BB3256" w:rsidP="00BB3256">
                  <w:r w:rsidRPr="00570524">
                    <w:t xml:space="preserve">Task 1: </w:t>
                  </w:r>
                  <w:r>
                    <w:t>Meeting Support</w:t>
                  </w:r>
                </w:p>
              </w:tc>
              <w:tc>
                <w:tcPr>
                  <w:tcW w:w="1057" w:type="dxa"/>
                  <w:vAlign w:val="center"/>
                </w:tcPr>
                <w:p w:rsidR="00BB3256" w:rsidRPr="00570524" w:rsidRDefault="00D96BEA" w:rsidP="00BB3256">
                  <w:pPr>
                    <w:jc w:val="center"/>
                  </w:pPr>
                  <w:r>
                    <w:t>10%</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uto"/>
                </w:tcPr>
                <w:p w:rsidR="00BB3256" w:rsidRPr="00570524" w:rsidRDefault="00BB3256" w:rsidP="00BB3256">
                  <w:pPr>
                    <w:jc w:val="center"/>
                  </w:pPr>
                </w:p>
              </w:tc>
              <w:tc>
                <w:tcPr>
                  <w:tcW w:w="509" w:type="dxa"/>
                  <w:shd w:val="clear" w:color="auto" w:fill="A6A6A6" w:themeFill="background1" w:themeFillShade="A6"/>
                </w:tcPr>
                <w:p w:rsidR="00BB3256" w:rsidRPr="00570524" w:rsidRDefault="00BB3256" w:rsidP="00BB3256">
                  <w:pPr>
                    <w:jc w:val="center"/>
                  </w:pPr>
                </w:p>
              </w:tc>
              <w:tc>
                <w:tcPr>
                  <w:tcW w:w="517" w:type="dxa"/>
                  <w:shd w:val="clear" w:color="auto" w:fill="A6A6A6" w:themeFill="background1" w:themeFillShade="A6"/>
                </w:tcPr>
                <w:p w:rsidR="00BB3256" w:rsidRPr="00570524" w:rsidRDefault="00BB3256" w:rsidP="00BB3256">
                  <w:pPr>
                    <w:jc w:val="center"/>
                  </w:pPr>
                </w:p>
              </w:tc>
              <w:tc>
                <w:tcPr>
                  <w:tcW w:w="541" w:type="dxa"/>
                  <w:shd w:val="clear" w:color="auto" w:fill="auto"/>
                </w:tcPr>
                <w:p w:rsidR="00BB3256" w:rsidRPr="00570524" w:rsidRDefault="00BB3256" w:rsidP="00BB3256">
                  <w:pPr>
                    <w:jc w:val="center"/>
                  </w:pP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uto"/>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rsidRPr="00570524">
                    <w:t xml:space="preserve">Task 2: </w:t>
                  </w:r>
                  <w:r w:rsidR="00DC75E8">
                    <w:t>Report Writing Support</w:t>
                  </w:r>
                </w:p>
              </w:tc>
              <w:tc>
                <w:tcPr>
                  <w:tcW w:w="1057" w:type="dxa"/>
                  <w:vAlign w:val="center"/>
                </w:tcPr>
                <w:p w:rsidR="00BB3256" w:rsidRPr="00570524" w:rsidRDefault="00D96BEA" w:rsidP="00BB3256">
                  <w:pPr>
                    <w:jc w:val="center"/>
                  </w:pPr>
                  <w:r>
                    <w:t>25%</w:t>
                  </w:r>
                </w:p>
              </w:tc>
              <w:tc>
                <w:tcPr>
                  <w:tcW w:w="538" w:type="dxa"/>
                  <w:shd w:val="clear" w:color="auto" w:fill="auto"/>
                  <w:vAlign w:val="center"/>
                </w:tcPr>
                <w:p w:rsidR="00BB3256" w:rsidRPr="00570524" w:rsidRDefault="00BB3256" w:rsidP="00BB3256">
                  <w:pPr>
                    <w:jc w:val="center"/>
                  </w:pP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uto"/>
                </w:tcPr>
                <w:p w:rsidR="00BB3256" w:rsidRPr="00570524" w:rsidRDefault="00BB3256" w:rsidP="00BB3256">
                  <w:pPr>
                    <w:jc w:val="center"/>
                  </w:pPr>
                </w:p>
              </w:tc>
              <w:tc>
                <w:tcPr>
                  <w:tcW w:w="517" w:type="dxa"/>
                  <w:shd w:val="clear" w:color="auto" w:fill="auto"/>
                </w:tcPr>
                <w:p w:rsidR="00BB3256" w:rsidRPr="00570524" w:rsidRDefault="00BB3256" w:rsidP="00BB3256">
                  <w:pPr>
                    <w:jc w:val="center"/>
                  </w:pPr>
                </w:p>
              </w:tc>
              <w:tc>
                <w:tcPr>
                  <w:tcW w:w="541" w:type="dxa"/>
                  <w:shd w:val="clear" w:color="auto" w:fill="A6A6A6" w:themeFill="background1" w:themeFillShade="A6"/>
                </w:tcPr>
                <w:p w:rsidR="00BB3256" w:rsidRPr="00570524" w:rsidRDefault="00BB3256" w:rsidP="00BB3256">
                  <w:pPr>
                    <w:jc w:val="center"/>
                  </w:pPr>
                </w:p>
              </w:tc>
              <w:tc>
                <w:tcPr>
                  <w:tcW w:w="535" w:type="dxa"/>
                  <w:shd w:val="clear" w:color="auto" w:fill="auto"/>
                  <w:vAlign w:val="center"/>
                </w:tcPr>
                <w:p w:rsidR="00BB3256" w:rsidRPr="00570524" w:rsidRDefault="00BB3256" w:rsidP="00BB3256">
                  <w:pPr>
                    <w:jc w:val="center"/>
                  </w:pPr>
                </w:p>
              </w:tc>
              <w:tc>
                <w:tcPr>
                  <w:tcW w:w="562" w:type="dxa"/>
                  <w:shd w:val="clear" w:color="auto" w:fill="auto"/>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uto"/>
                  <w:vAlign w:val="center"/>
                </w:tcPr>
                <w:p w:rsidR="00BB3256" w:rsidRPr="00570524" w:rsidRDefault="00BB3256" w:rsidP="00BB3256">
                  <w:pPr>
                    <w:jc w:val="center"/>
                  </w:pPr>
                </w:p>
              </w:tc>
              <w:tc>
                <w:tcPr>
                  <w:tcW w:w="537" w:type="dxa"/>
                  <w:shd w:val="clear" w:color="auto" w:fill="auto"/>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rsidRPr="00570524">
                    <w:t xml:space="preserve">Task 3: </w:t>
                  </w:r>
                  <w:r w:rsidR="00DC75E8">
                    <w:t>Support Website</w:t>
                  </w:r>
                </w:p>
              </w:tc>
              <w:tc>
                <w:tcPr>
                  <w:tcW w:w="1057" w:type="dxa"/>
                  <w:vAlign w:val="center"/>
                </w:tcPr>
                <w:p w:rsidR="00BB3256" w:rsidRPr="00570524" w:rsidRDefault="00D96BEA" w:rsidP="00BB3256">
                  <w:pPr>
                    <w:jc w:val="center"/>
                  </w:pPr>
                  <w:r>
                    <w:t>18%</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6A6A6" w:themeFill="background1" w:themeFillShade="A6"/>
                </w:tcPr>
                <w:p w:rsidR="00BB3256" w:rsidRPr="00570524" w:rsidRDefault="00BB3256" w:rsidP="00BB3256">
                  <w:pPr>
                    <w:jc w:val="center"/>
                  </w:pPr>
                </w:p>
              </w:tc>
              <w:tc>
                <w:tcPr>
                  <w:tcW w:w="517" w:type="dxa"/>
                  <w:shd w:val="clear" w:color="auto" w:fill="A6A6A6" w:themeFill="background1" w:themeFillShade="A6"/>
                </w:tcPr>
                <w:p w:rsidR="00BB3256" w:rsidRPr="00570524" w:rsidRDefault="00BB3256" w:rsidP="00BB3256">
                  <w:pPr>
                    <w:jc w:val="center"/>
                  </w:pPr>
                </w:p>
              </w:tc>
              <w:tc>
                <w:tcPr>
                  <w:tcW w:w="541" w:type="dxa"/>
                  <w:shd w:val="clear" w:color="auto" w:fill="A6A6A6" w:themeFill="background1" w:themeFillShade="A6"/>
                </w:tcPr>
                <w:p w:rsidR="00BB3256" w:rsidRPr="00570524" w:rsidRDefault="00BB3256" w:rsidP="00BB3256">
                  <w:pPr>
                    <w:jc w:val="center"/>
                  </w:pP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rsidRPr="00570524">
                    <w:t xml:space="preserve">Task 4: </w:t>
                  </w:r>
                  <w:r w:rsidR="00DC75E8">
                    <w:t>Support Outreach and Awareness</w:t>
                  </w:r>
                </w:p>
              </w:tc>
              <w:tc>
                <w:tcPr>
                  <w:tcW w:w="1057" w:type="dxa"/>
                  <w:vAlign w:val="center"/>
                </w:tcPr>
                <w:p w:rsidR="00BB3256" w:rsidRPr="00570524" w:rsidRDefault="00D96BEA" w:rsidP="00BB3256">
                  <w:pPr>
                    <w:jc w:val="center"/>
                  </w:pPr>
                  <w:r>
                    <w:t>18%</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6A6A6" w:themeFill="background1" w:themeFillShade="A6"/>
                </w:tcPr>
                <w:p w:rsidR="00BB3256" w:rsidRPr="00570524" w:rsidRDefault="00BB3256" w:rsidP="00BB3256">
                  <w:pPr>
                    <w:jc w:val="center"/>
                  </w:pPr>
                </w:p>
              </w:tc>
              <w:tc>
                <w:tcPr>
                  <w:tcW w:w="517" w:type="dxa"/>
                  <w:shd w:val="clear" w:color="auto" w:fill="A6A6A6" w:themeFill="background1" w:themeFillShade="A6"/>
                </w:tcPr>
                <w:p w:rsidR="00BB3256" w:rsidRPr="00570524" w:rsidRDefault="00BB3256" w:rsidP="00BB3256">
                  <w:pPr>
                    <w:jc w:val="center"/>
                  </w:pPr>
                </w:p>
              </w:tc>
              <w:tc>
                <w:tcPr>
                  <w:tcW w:w="541" w:type="dxa"/>
                  <w:shd w:val="clear" w:color="auto" w:fill="A6A6A6" w:themeFill="background1" w:themeFillShade="A6"/>
                </w:tcPr>
                <w:p w:rsidR="00BB3256" w:rsidRPr="00570524" w:rsidRDefault="00BB3256" w:rsidP="00BB3256">
                  <w:pPr>
                    <w:jc w:val="center"/>
                  </w:pP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Pr="00570524" w:rsidRDefault="00BB3256" w:rsidP="00BB3256">
                  <w:pPr>
                    <w:jc w:val="center"/>
                  </w:pPr>
                </w:p>
              </w:tc>
            </w:tr>
            <w:tr w:rsidR="00BB3256" w:rsidRPr="00570524" w:rsidTr="00D96BEA">
              <w:tc>
                <w:tcPr>
                  <w:tcW w:w="4213" w:type="dxa"/>
                </w:tcPr>
                <w:p w:rsidR="00BB3256" w:rsidRPr="00570524" w:rsidRDefault="00BB3256" w:rsidP="00BB3256">
                  <w:r>
                    <w:t>Task 5:</w:t>
                  </w:r>
                  <w:r w:rsidR="00DC75E8">
                    <w:t xml:space="preserve"> Support Work Plan and Project Dev.</w:t>
                  </w:r>
                </w:p>
              </w:tc>
              <w:tc>
                <w:tcPr>
                  <w:tcW w:w="1057" w:type="dxa"/>
                  <w:vAlign w:val="center"/>
                </w:tcPr>
                <w:p w:rsidR="00BB3256" w:rsidRDefault="00D96BEA" w:rsidP="00BB3256">
                  <w:pPr>
                    <w:jc w:val="center"/>
                  </w:pPr>
                  <w:r>
                    <w:t>30%</w:t>
                  </w:r>
                </w:p>
              </w:tc>
              <w:tc>
                <w:tcPr>
                  <w:tcW w:w="538" w:type="dxa"/>
                  <w:shd w:val="clear" w:color="auto" w:fill="A6A6A6" w:themeFill="background1" w:themeFillShade="A6"/>
                  <w:vAlign w:val="center"/>
                </w:tcPr>
                <w:p w:rsidR="00BB3256" w:rsidRPr="00570524" w:rsidRDefault="00D96BEA" w:rsidP="00BB3256">
                  <w:pPr>
                    <w:jc w:val="center"/>
                  </w:pPr>
                  <w:r>
                    <w:t>X</w:t>
                  </w:r>
                </w:p>
              </w:tc>
              <w:tc>
                <w:tcPr>
                  <w:tcW w:w="510" w:type="dxa"/>
                  <w:shd w:val="clear" w:color="auto" w:fill="A6A6A6" w:themeFill="background1" w:themeFillShade="A6"/>
                </w:tcPr>
                <w:p w:rsidR="00BB3256" w:rsidRPr="00570524" w:rsidRDefault="00D96BEA" w:rsidP="00BB3256">
                  <w:pPr>
                    <w:jc w:val="center"/>
                  </w:pPr>
                  <w:r>
                    <w:t>X</w:t>
                  </w:r>
                </w:p>
              </w:tc>
              <w:tc>
                <w:tcPr>
                  <w:tcW w:w="509" w:type="dxa"/>
                  <w:shd w:val="clear" w:color="auto" w:fill="A6A6A6" w:themeFill="background1" w:themeFillShade="A6"/>
                </w:tcPr>
                <w:p w:rsidR="00BB3256" w:rsidRPr="00570524" w:rsidRDefault="00BB3256" w:rsidP="00BB3256">
                  <w:pPr>
                    <w:jc w:val="center"/>
                  </w:pPr>
                </w:p>
              </w:tc>
              <w:tc>
                <w:tcPr>
                  <w:tcW w:w="517" w:type="dxa"/>
                  <w:shd w:val="clear" w:color="auto" w:fill="A6A6A6" w:themeFill="background1" w:themeFillShade="A6"/>
                </w:tcPr>
                <w:p w:rsidR="00BB3256" w:rsidRPr="00570524" w:rsidRDefault="00BB3256" w:rsidP="00BB3256">
                  <w:pPr>
                    <w:jc w:val="center"/>
                  </w:pPr>
                </w:p>
              </w:tc>
              <w:tc>
                <w:tcPr>
                  <w:tcW w:w="541" w:type="dxa"/>
                  <w:shd w:val="clear" w:color="auto" w:fill="A6A6A6" w:themeFill="background1" w:themeFillShade="A6"/>
                </w:tcPr>
                <w:p w:rsidR="00BB3256" w:rsidRPr="00570524" w:rsidRDefault="00BB3256" w:rsidP="00BB3256">
                  <w:pPr>
                    <w:jc w:val="center"/>
                  </w:pPr>
                </w:p>
              </w:tc>
              <w:tc>
                <w:tcPr>
                  <w:tcW w:w="535" w:type="dxa"/>
                  <w:shd w:val="clear" w:color="auto" w:fill="A6A6A6" w:themeFill="background1" w:themeFillShade="A6"/>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6A6A6" w:themeFill="background1" w:themeFillShade="A6"/>
                  <w:vAlign w:val="center"/>
                </w:tcPr>
                <w:p w:rsidR="00BB3256" w:rsidRDefault="00BB3256" w:rsidP="00BB3256">
                  <w:pPr>
                    <w:jc w:val="center"/>
                  </w:pPr>
                </w:p>
              </w:tc>
            </w:tr>
            <w:tr w:rsidR="00BB3256" w:rsidRPr="00570524" w:rsidTr="00D96BEA">
              <w:tc>
                <w:tcPr>
                  <w:tcW w:w="4213" w:type="dxa"/>
                </w:tcPr>
                <w:p w:rsidR="00BB3256" w:rsidRPr="00570524" w:rsidRDefault="00BB3256" w:rsidP="00BB3256">
                  <w:r>
                    <w:t>Task 6:</w:t>
                  </w:r>
                  <w:r w:rsidR="00D96BEA">
                    <w:t xml:space="preserve"> Reimburse Travel</w:t>
                  </w:r>
                </w:p>
              </w:tc>
              <w:tc>
                <w:tcPr>
                  <w:tcW w:w="1057" w:type="dxa"/>
                  <w:vAlign w:val="center"/>
                </w:tcPr>
                <w:p w:rsidR="00BB3256" w:rsidRDefault="00D96BEA" w:rsidP="00BB3256">
                  <w:pPr>
                    <w:jc w:val="center"/>
                  </w:pPr>
                  <w:r>
                    <w:t>0%</w:t>
                  </w:r>
                </w:p>
              </w:tc>
              <w:tc>
                <w:tcPr>
                  <w:tcW w:w="538" w:type="dxa"/>
                  <w:shd w:val="clear" w:color="auto" w:fill="auto"/>
                  <w:vAlign w:val="center"/>
                </w:tcPr>
                <w:p w:rsidR="00BB3256" w:rsidRPr="00570524" w:rsidRDefault="00BB3256" w:rsidP="00BB3256">
                  <w:pPr>
                    <w:jc w:val="center"/>
                  </w:pPr>
                </w:p>
              </w:tc>
              <w:tc>
                <w:tcPr>
                  <w:tcW w:w="510" w:type="dxa"/>
                  <w:shd w:val="clear" w:color="auto" w:fill="auto"/>
                </w:tcPr>
                <w:p w:rsidR="00BB3256" w:rsidRPr="00570524" w:rsidRDefault="00BB3256" w:rsidP="00BB3256">
                  <w:pPr>
                    <w:jc w:val="center"/>
                  </w:pPr>
                </w:p>
              </w:tc>
              <w:tc>
                <w:tcPr>
                  <w:tcW w:w="509" w:type="dxa"/>
                  <w:shd w:val="clear" w:color="auto" w:fill="auto"/>
                </w:tcPr>
                <w:p w:rsidR="00BB3256" w:rsidRPr="00570524" w:rsidRDefault="00BB3256" w:rsidP="00BB3256">
                  <w:pPr>
                    <w:jc w:val="center"/>
                  </w:pPr>
                </w:p>
              </w:tc>
              <w:tc>
                <w:tcPr>
                  <w:tcW w:w="517" w:type="dxa"/>
                  <w:shd w:val="clear" w:color="auto" w:fill="auto"/>
                </w:tcPr>
                <w:p w:rsidR="00BB3256" w:rsidRPr="00570524" w:rsidRDefault="00BB3256" w:rsidP="00BB3256">
                  <w:pPr>
                    <w:jc w:val="center"/>
                  </w:pPr>
                </w:p>
              </w:tc>
              <w:tc>
                <w:tcPr>
                  <w:tcW w:w="541" w:type="dxa"/>
                  <w:shd w:val="clear" w:color="auto" w:fill="auto"/>
                </w:tcPr>
                <w:p w:rsidR="00BB3256" w:rsidRPr="00570524" w:rsidRDefault="00BB3256" w:rsidP="00BB3256">
                  <w:pPr>
                    <w:jc w:val="center"/>
                  </w:pPr>
                </w:p>
              </w:tc>
              <w:tc>
                <w:tcPr>
                  <w:tcW w:w="535" w:type="dxa"/>
                  <w:shd w:val="clear" w:color="auto" w:fill="auto"/>
                  <w:vAlign w:val="center"/>
                </w:tcPr>
                <w:p w:rsidR="00BB3256" w:rsidRPr="00570524" w:rsidRDefault="00BB3256" w:rsidP="00BB3256">
                  <w:pPr>
                    <w:jc w:val="center"/>
                  </w:pPr>
                </w:p>
              </w:tc>
              <w:tc>
                <w:tcPr>
                  <w:tcW w:w="562" w:type="dxa"/>
                  <w:shd w:val="clear" w:color="auto" w:fill="A6A6A6" w:themeFill="background1" w:themeFillShade="A6"/>
                  <w:vAlign w:val="center"/>
                </w:tcPr>
                <w:p w:rsidR="00BB3256" w:rsidRPr="00570524" w:rsidRDefault="00BB3256" w:rsidP="00BB3256">
                  <w:pPr>
                    <w:jc w:val="center"/>
                  </w:pPr>
                </w:p>
              </w:tc>
              <w:tc>
                <w:tcPr>
                  <w:tcW w:w="483" w:type="dxa"/>
                  <w:shd w:val="clear" w:color="auto" w:fill="A6A6A6" w:themeFill="background1" w:themeFillShade="A6"/>
                  <w:vAlign w:val="center"/>
                </w:tcPr>
                <w:p w:rsidR="00BB3256" w:rsidRPr="00570524" w:rsidRDefault="00BB3256" w:rsidP="00BB3256">
                  <w:pPr>
                    <w:jc w:val="center"/>
                  </w:pPr>
                </w:p>
              </w:tc>
              <w:tc>
                <w:tcPr>
                  <w:tcW w:w="473" w:type="dxa"/>
                  <w:shd w:val="clear" w:color="auto" w:fill="A6A6A6" w:themeFill="background1" w:themeFillShade="A6"/>
                  <w:vAlign w:val="center"/>
                </w:tcPr>
                <w:p w:rsidR="00BB3256" w:rsidRPr="00570524" w:rsidRDefault="00BB3256" w:rsidP="00BB3256">
                  <w:pPr>
                    <w:jc w:val="center"/>
                  </w:pPr>
                </w:p>
              </w:tc>
              <w:tc>
                <w:tcPr>
                  <w:tcW w:w="537" w:type="dxa"/>
                  <w:shd w:val="clear" w:color="auto" w:fill="A6A6A6" w:themeFill="background1" w:themeFillShade="A6"/>
                  <w:vAlign w:val="center"/>
                </w:tcPr>
                <w:p w:rsidR="00BB3256" w:rsidRPr="00570524" w:rsidRDefault="00BB3256" w:rsidP="00BB3256">
                  <w:pPr>
                    <w:jc w:val="center"/>
                  </w:pPr>
                </w:p>
              </w:tc>
              <w:tc>
                <w:tcPr>
                  <w:tcW w:w="551" w:type="dxa"/>
                  <w:shd w:val="clear" w:color="auto" w:fill="auto"/>
                  <w:vAlign w:val="center"/>
                </w:tcPr>
                <w:p w:rsidR="00BB3256" w:rsidRDefault="00BB3256" w:rsidP="00BB3256">
                  <w:pPr>
                    <w:jc w:val="center"/>
                  </w:pPr>
                </w:p>
              </w:tc>
            </w:tr>
          </w:tbl>
          <w:p w:rsidR="00BB3256" w:rsidRDefault="00BB3256"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EA399C">
        <w:tc>
          <w:tcPr>
            <w:tcW w:w="11252"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D96BEA" w:rsidRPr="00C54D9A" w:rsidRDefault="00D96BEA" w:rsidP="00D96BEA">
            <w:pPr>
              <w:ind w:right="-720"/>
              <w:rPr>
                <w:rFonts w:ascii="Arial" w:hAnsi="Arial" w:cs="Arial"/>
                <w:sz w:val="20"/>
                <w:szCs w:val="20"/>
                <w:u w:val="single"/>
              </w:rPr>
            </w:pPr>
            <w:r w:rsidRPr="00C54D9A">
              <w:rPr>
                <w:rFonts w:ascii="Arial" w:hAnsi="Arial" w:cs="Arial"/>
                <w:sz w:val="20"/>
                <w:szCs w:val="20"/>
                <w:u w:val="single"/>
              </w:rPr>
              <w:t>Meetings</w:t>
            </w:r>
          </w:p>
          <w:p w:rsidR="00247480" w:rsidRDefault="00D96BEA" w:rsidP="00551D8A">
            <w:pPr>
              <w:ind w:right="-720"/>
              <w:rPr>
                <w:rFonts w:ascii="Arial" w:hAnsi="Arial" w:cs="Arial"/>
                <w:sz w:val="20"/>
                <w:szCs w:val="20"/>
              </w:rPr>
            </w:pPr>
            <w:r>
              <w:rPr>
                <w:rFonts w:ascii="Arial" w:hAnsi="Arial" w:cs="Arial"/>
                <w:sz w:val="20"/>
                <w:szCs w:val="20"/>
              </w:rPr>
              <w:t>January 12</w:t>
            </w:r>
            <w:r w:rsidRPr="00D96BEA">
              <w:rPr>
                <w:rFonts w:ascii="Arial" w:hAnsi="Arial" w:cs="Arial"/>
                <w:sz w:val="20"/>
                <w:szCs w:val="20"/>
                <w:vertAlign w:val="superscript"/>
              </w:rPr>
              <w:t>th</w:t>
            </w:r>
          </w:p>
          <w:p w:rsidR="005D493E" w:rsidRDefault="00D96BEA" w:rsidP="00551D8A">
            <w:pPr>
              <w:ind w:right="-720"/>
              <w:rPr>
                <w:rFonts w:ascii="Arial" w:hAnsi="Arial" w:cs="Arial"/>
                <w:sz w:val="20"/>
                <w:szCs w:val="20"/>
              </w:rPr>
            </w:pPr>
            <w:r>
              <w:rPr>
                <w:rFonts w:ascii="Arial" w:hAnsi="Arial" w:cs="Arial"/>
                <w:sz w:val="20"/>
                <w:szCs w:val="20"/>
              </w:rPr>
              <w:t>Informal meeting of participating states</w:t>
            </w:r>
            <w:r w:rsidR="005D493E">
              <w:rPr>
                <w:rFonts w:ascii="Arial" w:hAnsi="Arial" w:cs="Arial"/>
                <w:sz w:val="20"/>
                <w:szCs w:val="20"/>
              </w:rPr>
              <w:t xml:space="preserve"> and interested parties at TRB</w:t>
            </w:r>
          </w:p>
          <w:p w:rsidR="005D493E" w:rsidRDefault="005D493E" w:rsidP="00551D8A">
            <w:pPr>
              <w:ind w:right="-720"/>
              <w:rPr>
                <w:rFonts w:ascii="Arial" w:hAnsi="Arial" w:cs="Arial"/>
                <w:sz w:val="20"/>
                <w:szCs w:val="20"/>
              </w:rPr>
            </w:pPr>
          </w:p>
          <w:p w:rsidR="00C83A6C" w:rsidRDefault="005D493E" w:rsidP="00C83A6C">
            <w:pPr>
              <w:rPr>
                <w:rFonts w:ascii="Arial" w:hAnsi="Arial" w:cs="Arial"/>
                <w:sz w:val="20"/>
                <w:szCs w:val="20"/>
              </w:rPr>
            </w:pPr>
            <w:r w:rsidRPr="00C83A6C">
              <w:rPr>
                <w:rFonts w:ascii="Arial" w:hAnsi="Arial" w:cs="Arial"/>
                <w:sz w:val="20"/>
                <w:szCs w:val="20"/>
              </w:rPr>
              <w:t>Meeting agenda</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Introductions (5 minutes)</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Brief Project Overview and Information Guide -  (5 minutes)</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TPF Funding Status – Commitments, Funding Transfers, Plans to Commit, and Board Members (5 minutes)</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Related TRB Events (5 minutes) - attachment</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Western Transportation Institute (WTI) Safety Center of Excellence (15 minutes)</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First Year Project(s) (15 minutes) - attachments</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Additional Partners (5 minutes)</w:t>
            </w:r>
          </w:p>
          <w:p w:rsidR="00C83A6C" w:rsidRPr="00C83A6C" w:rsidRDefault="00C83A6C" w:rsidP="00C83A6C">
            <w:pPr>
              <w:pStyle w:val="ListParagraph"/>
              <w:numPr>
                <w:ilvl w:val="0"/>
                <w:numId w:val="8"/>
              </w:numPr>
              <w:rPr>
                <w:rFonts w:ascii="Arial" w:hAnsi="Arial" w:cs="Arial"/>
                <w:sz w:val="20"/>
                <w:szCs w:val="20"/>
              </w:rPr>
            </w:pPr>
            <w:r w:rsidRPr="00C83A6C">
              <w:rPr>
                <w:rFonts w:ascii="Arial" w:hAnsi="Arial" w:cs="Arial"/>
                <w:sz w:val="20"/>
                <w:szCs w:val="20"/>
              </w:rPr>
              <w:t>Recurring Quarterly Meeting Schedule and Next Steps – (5 minutes)</w:t>
            </w:r>
          </w:p>
          <w:p w:rsidR="00D96BEA" w:rsidRDefault="00D96BEA" w:rsidP="00551D8A">
            <w:pPr>
              <w:ind w:right="-720"/>
              <w:rPr>
                <w:rFonts w:ascii="Arial" w:hAnsi="Arial" w:cs="Arial"/>
                <w:sz w:val="20"/>
                <w:szCs w:val="20"/>
              </w:rPr>
            </w:pPr>
          </w:p>
          <w:p w:rsidR="00247480" w:rsidRDefault="00247480" w:rsidP="00551D8A">
            <w:pPr>
              <w:ind w:right="-720"/>
              <w:rPr>
                <w:rFonts w:ascii="Arial" w:hAnsi="Arial" w:cs="Arial"/>
                <w:sz w:val="20"/>
                <w:szCs w:val="20"/>
              </w:rPr>
            </w:pPr>
            <w:r>
              <w:rPr>
                <w:rFonts w:ascii="Arial" w:hAnsi="Arial" w:cs="Arial"/>
                <w:sz w:val="20"/>
                <w:szCs w:val="20"/>
              </w:rPr>
              <w:t>February 18</w:t>
            </w:r>
            <w:r w:rsidRPr="00247480">
              <w:rPr>
                <w:rFonts w:ascii="Arial" w:hAnsi="Arial" w:cs="Arial"/>
                <w:sz w:val="20"/>
                <w:szCs w:val="20"/>
                <w:vertAlign w:val="superscript"/>
              </w:rPr>
              <w:t>th</w:t>
            </w:r>
          </w:p>
          <w:p w:rsidR="00601EBD" w:rsidRPr="005D493E" w:rsidRDefault="00D96BEA" w:rsidP="00551D8A">
            <w:pPr>
              <w:ind w:right="-720"/>
              <w:rPr>
                <w:rFonts w:ascii="Arial" w:hAnsi="Arial" w:cs="Arial"/>
                <w:i/>
                <w:sz w:val="20"/>
                <w:szCs w:val="20"/>
              </w:rPr>
            </w:pPr>
            <w:r w:rsidRPr="005D493E">
              <w:rPr>
                <w:rFonts w:ascii="Arial" w:hAnsi="Arial" w:cs="Arial"/>
                <w:i/>
                <w:sz w:val="20"/>
                <w:szCs w:val="20"/>
              </w:rPr>
              <w:t>Quarter</w:t>
            </w:r>
            <w:r w:rsidR="00247480" w:rsidRPr="005D493E">
              <w:rPr>
                <w:rFonts w:ascii="Arial" w:hAnsi="Arial" w:cs="Arial"/>
                <w:i/>
                <w:sz w:val="20"/>
                <w:szCs w:val="20"/>
              </w:rPr>
              <w:t>ly meeting</w:t>
            </w:r>
          </w:p>
          <w:p w:rsidR="00247480" w:rsidRDefault="0066446F" w:rsidP="00247480">
            <w:pPr>
              <w:pStyle w:val="ListParagraph"/>
              <w:numPr>
                <w:ilvl w:val="0"/>
                <w:numId w:val="4"/>
              </w:numPr>
              <w:ind w:right="-720"/>
              <w:rPr>
                <w:rFonts w:ascii="Arial" w:hAnsi="Arial" w:cs="Arial"/>
                <w:sz w:val="20"/>
                <w:szCs w:val="20"/>
              </w:rPr>
            </w:pPr>
            <w:r>
              <w:rPr>
                <w:rFonts w:ascii="Arial" w:hAnsi="Arial" w:cs="Arial"/>
                <w:sz w:val="20"/>
                <w:szCs w:val="20"/>
              </w:rPr>
              <w:t>Develop an</w:t>
            </w:r>
            <w:r w:rsidR="00247480">
              <w:rPr>
                <w:rFonts w:ascii="Arial" w:hAnsi="Arial" w:cs="Arial"/>
                <w:sz w:val="20"/>
                <w:szCs w:val="20"/>
              </w:rPr>
              <w:t xml:space="preserve"> agenda</w:t>
            </w:r>
          </w:p>
          <w:p w:rsidR="00247480" w:rsidRPr="00247480" w:rsidRDefault="00247480" w:rsidP="00247480">
            <w:pPr>
              <w:pStyle w:val="ListParagraph"/>
              <w:numPr>
                <w:ilvl w:val="0"/>
                <w:numId w:val="4"/>
              </w:numPr>
              <w:ind w:right="-720"/>
              <w:rPr>
                <w:rFonts w:ascii="Arial" w:hAnsi="Arial" w:cs="Arial"/>
                <w:sz w:val="20"/>
                <w:szCs w:val="20"/>
              </w:rPr>
            </w:pPr>
            <w:r>
              <w:rPr>
                <w:rFonts w:ascii="Arial" w:hAnsi="Arial" w:cs="Arial"/>
                <w:sz w:val="20"/>
                <w:szCs w:val="20"/>
              </w:rPr>
              <w:t>Plans to discuss prop</w:t>
            </w:r>
            <w:r w:rsidR="005D493E">
              <w:rPr>
                <w:rFonts w:ascii="Arial" w:hAnsi="Arial" w:cs="Arial"/>
                <w:sz w:val="20"/>
                <w:szCs w:val="20"/>
              </w:rPr>
              <w:t>osed project scope of work</w:t>
            </w:r>
          </w:p>
          <w:p w:rsidR="00601EBD" w:rsidRDefault="00601EBD" w:rsidP="00551D8A">
            <w:pPr>
              <w:ind w:right="-720"/>
              <w:rPr>
                <w:rFonts w:ascii="Arial" w:hAnsi="Arial" w:cs="Arial"/>
                <w:sz w:val="20"/>
                <w:szCs w:val="20"/>
              </w:rPr>
            </w:pPr>
          </w:p>
          <w:p w:rsidR="00D96BEA" w:rsidRPr="00C54D9A" w:rsidRDefault="00D96BEA" w:rsidP="00D96BEA">
            <w:pPr>
              <w:ind w:right="-720"/>
              <w:rPr>
                <w:rFonts w:ascii="Arial" w:hAnsi="Arial" w:cs="Arial"/>
                <w:sz w:val="20"/>
                <w:szCs w:val="20"/>
                <w:u w:val="single"/>
              </w:rPr>
            </w:pPr>
            <w:r w:rsidRPr="00C54D9A">
              <w:rPr>
                <w:rFonts w:ascii="Arial" w:hAnsi="Arial" w:cs="Arial"/>
                <w:sz w:val="20"/>
                <w:szCs w:val="20"/>
                <w:u w:val="single"/>
              </w:rPr>
              <w:t>Contract Status</w:t>
            </w:r>
          </w:p>
          <w:p w:rsidR="00D96BEA" w:rsidRDefault="00D96BEA" w:rsidP="00D96BEA">
            <w:pPr>
              <w:ind w:right="-720"/>
              <w:rPr>
                <w:rFonts w:ascii="Arial" w:hAnsi="Arial" w:cs="Arial"/>
                <w:sz w:val="20"/>
                <w:szCs w:val="20"/>
              </w:rPr>
            </w:pPr>
          </w:p>
          <w:p w:rsidR="00D96BEA" w:rsidRPr="009764BF" w:rsidRDefault="00D96BEA" w:rsidP="00D96BEA">
            <w:pPr>
              <w:ind w:right="-720"/>
              <w:rPr>
                <w:rFonts w:ascii="Arial" w:hAnsi="Arial" w:cs="Arial"/>
                <w:i/>
                <w:sz w:val="20"/>
                <w:szCs w:val="20"/>
              </w:rPr>
            </w:pPr>
            <w:r w:rsidRPr="009764BF">
              <w:rPr>
                <w:rFonts w:ascii="Arial" w:hAnsi="Arial" w:cs="Arial"/>
                <w:i/>
                <w:sz w:val="20"/>
                <w:szCs w:val="20"/>
              </w:rPr>
              <w:t>Program Support Contract 8882-309</w:t>
            </w:r>
            <w:r w:rsidR="0066446F">
              <w:rPr>
                <w:rFonts w:ascii="Arial" w:hAnsi="Arial" w:cs="Arial"/>
                <w:i/>
                <w:sz w:val="20"/>
                <w:szCs w:val="20"/>
              </w:rPr>
              <w:t>-01</w:t>
            </w:r>
          </w:p>
          <w:p w:rsidR="00601EBD"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Submit Quarterly report to MDT for review and approval</w:t>
            </w:r>
          </w:p>
          <w:p w:rsidR="00C83A6C"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Provide meeting support for January and February meetings</w:t>
            </w:r>
          </w:p>
          <w:p w:rsidR="00C83A6C"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Begin planning in person meeting for May</w:t>
            </w:r>
          </w:p>
          <w:p w:rsidR="00C83A6C"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lastRenderedPageBreak/>
              <w:t>Continue outreach and awareness</w:t>
            </w:r>
          </w:p>
          <w:p w:rsidR="00C83A6C" w:rsidRPr="00C83A6C" w:rsidRDefault="00C83A6C" w:rsidP="00C83A6C">
            <w:pPr>
              <w:pStyle w:val="ListParagraph"/>
              <w:numPr>
                <w:ilvl w:val="0"/>
                <w:numId w:val="5"/>
              </w:numPr>
              <w:ind w:right="-720"/>
              <w:rPr>
                <w:rFonts w:ascii="Arial" w:hAnsi="Arial" w:cs="Arial"/>
                <w:sz w:val="20"/>
                <w:szCs w:val="20"/>
              </w:rPr>
            </w:pPr>
            <w:r>
              <w:rPr>
                <w:rFonts w:ascii="Arial" w:hAnsi="Arial" w:cs="Arial"/>
                <w:sz w:val="20"/>
                <w:szCs w:val="20"/>
              </w:rPr>
              <w:t>Continue to develop project ideas and review with board</w:t>
            </w:r>
          </w:p>
          <w:p w:rsidR="00601EBD" w:rsidRDefault="00601EBD" w:rsidP="00C83A6C">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3835B9" w:rsidRDefault="003835B9" w:rsidP="003835B9">
            <w:pPr>
              <w:pStyle w:val="ListParagraph"/>
              <w:numPr>
                <w:ilvl w:val="0"/>
                <w:numId w:val="5"/>
              </w:numPr>
              <w:ind w:right="-720"/>
              <w:rPr>
                <w:rFonts w:ascii="Arial" w:hAnsi="Arial" w:cs="Arial"/>
                <w:sz w:val="20"/>
                <w:szCs w:val="20"/>
              </w:rPr>
            </w:pPr>
            <w:r>
              <w:rPr>
                <w:rFonts w:ascii="Arial" w:hAnsi="Arial" w:cs="Arial"/>
                <w:sz w:val="20"/>
                <w:szCs w:val="20"/>
              </w:rPr>
              <w:t xml:space="preserve">FFY 2015 </w:t>
            </w:r>
            <w:r w:rsidR="00C83A6C" w:rsidRPr="003835B9">
              <w:rPr>
                <w:rFonts w:ascii="Arial" w:hAnsi="Arial" w:cs="Arial"/>
                <w:sz w:val="20"/>
                <w:szCs w:val="20"/>
              </w:rPr>
              <w:t>Program support contract executed</w:t>
            </w:r>
          </w:p>
          <w:p w:rsidR="00C83A6C" w:rsidRPr="00C83A6C" w:rsidRDefault="00C83A6C" w:rsidP="003835B9">
            <w:pPr>
              <w:pStyle w:val="ListParagraph"/>
              <w:numPr>
                <w:ilvl w:val="0"/>
                <w:numId w:val="5"/>
              </w:numPr>
              <w:ind w:right="-720"/>
              <w:rPr>
                <w:rFonts w:ascii="Arial" w:hAnsi="Arial" w:cs="Arial"/>
                <w:sz w:val="20"/>
                <w:szCs w:val="20"/>
              </w:rPr>
            </w:pPr>
            <w:r w:rsidRPr="00C83A6C">
              <w:rPr>
                <w:rFonts w:ascii="Arial" w:hAnsi="Arial" w:cs="Arial"/>
                <w:sz w:val="20"/>
                <w:szCs w:val="20"/>
              </w:rPr>
              <w:t>Detailed scopes of work for two projects provided to M</w:t>
            </w:r>
            <w:r w:rsidR="003835B9">
              <w:rPr>
                <w:rFonts w:ascii="Arial" w:hAnsi="Arial" w:cs="Arial"/>
                <w:sz w:val="20"/>
                <w:szCs w:val="20"/>
              </w:rPr>
              <w:t>DT and shared with interested parties</w:t>
            </w:r>
          </w:p>
          <w:p w:rsidR="00601EBD" w:rsidRDefault="00601EBD" w:rsidP="00C83A6C">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sz w:val="20"/>
                <w:szCs w:val="20"/>
              </w:rPr>
            </w:pPr>
            <w:r>
              <w:rPr>
                <w:rFonts w:ascii="Arial" w:hAnsi="Arial" w:cs="Arial"/>
                <w:b/>
                <w:sz w:val="20"/>
                <w:szCs w:val="20"/>
              </w:rPr>
              <w:t>agreement, along with recommended solutions to those problems).</w:t>
            </w:r>
            <w:r w:rsidR="003835B9">
              <w:rPr>
                <w:rFonts w:ascii="Arial" w:hAnsi="Arial" w:cs="Arial"/>
                <w:b/>
                <w:sz w:val="20"/>
                <w:szCs w:val="20"/>
              </w:rPr>
              <w:t xml:space="preserve">  </w:t>
            </w:r>
            <w:r w:rsidR="00C83A6C" w:rsidRPr="00C83A6C">
              <w:rPr>
                <w:rFonts w:ascii="Arial" w:hAnsi="Arial" w:cs="Arial"/>
                <w:sz w:val="20"/>
                <w:szCs w:val="20"/>
              </w:rPr>
              <w:t>None</w:t>
            </w:r>
          </w:p>
          <w:p w:rsidR="003835B9" w:rsidRPr="003835B9" w:rsidRDefault="003835B9"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3835B9">
              <w:rPr>
                <w:rFonts w:ascii="Arial" w:hAnsi="Arial" w:cs="Arial"/>
                <w:sz w:val="20"/>
                <w:szCs w:val="20"/>
              </w:rPr>
              <w:t>None at this time.</w:t>
            </w:r>
          </w:p>
          <w:p w:rsidR="00E35E0F" w:rsidRDefault="00E35E0F" w:rsidP="00551D8A">
            <w:pPr>
              <w:ind w:right="-720"/>
              <w:rPr>
                <w:rFonts w:ascii="Arial" w:hAnsi="Arial" w:cs="Arial"/>
                <w:sz w:val="20"/>
                <w:szCs w:val="20"/>
              </w:rPr>
            </w:pPr>
          </w:p>
        </w:tc>
      </w:tr>
    </w:tbl>
    <w:p w:rsidR="00E35E0F" w:rsidRPr="00743C01" w:rsidRDefault="00E35E0F" w:rsidP="006A49C3">
      <w:pPr>
        <w:spacing w:after="0"/>
        <w:ind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298" w:rsidRDefault="00DB1298" w:rsidP="00106C83">
      <w:pPr>
        <w:spacing w:after="0" w:line="240" w:lineRule="auto"/>
      </w:pPr>
      <w:r>
        <w:separator/>
      </w:r>
    </w:p>
  </w:endnote>
  <w:endnote w:type="continuationSeparator" w:id="0">
    <w:p w:rsidR="00DB1298" w:rsidRDefault="00DB12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298" w:rsidRDefault="00DB1298" w:rsidP="00106C83">
      <w:pPr>
        <w:spacing w:after="0" w:line="240" w:lineRule="auto"/>
      </w:pPr>
      <w:r>
        <w:separator/>
      </w:r>
    </w:p>
  </w:footnote>
  <w:footnote w:type="continuationSeparator" w:id="0">
    <w:p w:rsidR="00DB1298" w:rsidRDefault="00DB1298" w:rsidP="00106C83">
      <w:pPr>
        <w:spacing w:after="0" w:line="240" w:lineRule="auto"/>
      </w:pPr>
      <w:r>
        <w:continuationSeparator/>
      </w:r>
    </w:p>
  </w:footnote>
  <w:footnote w:id="1">
    <w:p w:rsidR="00D7379C" w:rsidRDefault="00D7379C" w:rsidP="00D7379C">
      <w:pPr>
        <w:pStyle w:val="FootnoteText"/>
      </w:pPr>
      <w:r>
        <w:rPr>
          <w:rStyle w:val="FootnoteReference"/>
        </w:rPr>
        <w:footnoteRef/>
      </w:r>
      <w:r>
        <w:t xml:space="preserve"> The expenditures included in the progress schedule are actual expenditures by MSU as of January 1</w:t>
      </w:r>
      <w:r>
        <w:rPr>
          <w:vertAlign w:val="superscript"/>
        </w:rPr>
        <w:t>st</w:t>
      </w:r>
      <w:r>
        <w:t xml:space="preserve">.  It is important to note that salaries and benefits for a given month are not reported until the subsequent month (thus this report does not include salary and benefits for December). It also does not include </w:t>
      </w:r>
      <w:r w:rsidR="00983F84">
        <w:t>salaries and benefits for November because the contract was not executed until Dec. 2</w:t>
      </w:r>
      <w:r w:rsidR="00983F84" w:rsidRPr="00983F84">
        <w:rPr>
          <w:vertAlign w:val="superscript"/>
        </w:rPr>
        <w:t>nd</w:t>
      </w:r>
      <w:r w:rsidR="00983F84">
        <w:t xml:space="preserve">. </w:t>
      </w:r>
    </w:p>
    <w:p w:rsidR="00D7379C" w:rsidRDefault="00D7379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38D"/>
    <w:multiLevelType w:val="hybridMultilevel"/>
    <w:tmpl w:val="B36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16C71"/>
    <w:multiLevelType w:val="hybridMultilevel"/>
    <w:tmpl w:val="E39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13920"/>
    <w:multiLevelType w:val="hybridMultilevel"/>
    <w:tmpl w:val="E9C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F6EC5"/>
    <w:multiLevelType w:val="hybridMultilevel"/>
    <w:tmpl w:val="AAC28244"/>
    <w:lvl w:ilvl="0" w:tplc="19400C1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C3EEC"/>
    <w:multiLevelType w:val="hybridMultilevel"/>
    <w:tmpl w:val="2DF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2215D"/>
    <w:multiLevelType w:val="hybridMultilevel"/>
    <w:tmpl w:val="6EE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6369BE"/>
    <w:multiLevelType w:val="hybridMultilevel"/>
    <w:tmpl w:val="65AE5356"/>
    <w:lvl w:ilvl="0" w:tplc="22F4665C">
      <w:start w:val="206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D2787B"/>
    <w:multiLevelType w:val="hybridMultilevel"/>
    <w:tmpl w:val="3D82F3B6"/>
    <w:lvl w:ilvl="0" w:tplc="19400C1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184448"/>
    <w:rsid w:val="0021446D"/>
    <w:rsid w:val="00247480"/>
    <w:rsid w:val="002914C0"/>
    <w:rsid w:val="00293FD8"/>
    <w:rsid w:val="002A79C8"/>
    <w:rsid w:val="00331212"/>
    <w:rsid w:val="003835B9"/>
    <w:rsid w:val="0038705A"/>
    <w:rsid w:val="003F443F"/>
    <w:rsid w:val="004144E6"/>
    <w:rsid w:val="004156B2"/>
    <w:rsid w:val="00437734"/>
    <w:rsid w:val="004E14DC"/>
    <w:rsid w:val="00535598"/>
    <w:rsid w:val="00547EE3"/>
    <w:rsid w:val="00551D8A"/>
    <w:rsid w:val="00581B36"/>
    <w:rsid w:val="00583E8E"/>
    <w:rsid w:val="00592A8A"/>
    <w:rsid w:val="005D493E"/>
    <w:rsid w:val="00601EBD"/>
    <w:rsid w:val="0066446F"/>
    <w:rsid w:val="00682C5E"/>
    <w:rsid w:val="006A49C3"/>
    <w:rsid w:val="006D159A"/>
    <w:rsid w:val="00743C01"/>
    <w:rsid w:val="00790C4A"/>
    <w:rsid w:val="007E4980"/>
    <w:rsid w:val="007E5BD2"/>
    <w:rsid w:val="007F0369"/>
    <w:rsid w:val="00872F18"/>
    <w:rsid w:val="00874EF7"/>
    <w:rsid w:val="008E2183"/>
    <w:rsid w:val="009127C2"/>
    <w:rsid w:val="00915F8B"/>
    <w:rsid w:val="00942D20"/>
    <w:rsid w:val="009764BF"/>
    <w:rsid w:val="00983F84"/>
    <w:rsid w:val="00A43875"/>
    <w:rsid w:val="00A63677"/>
    <w:rsid w:val="00A80BD8"/>
    <w:rsid w:val="00AE41CD"/>
    <w:rsid w:val="00AE46B0"/>
    <w:rsid w:val="00B2185C"/>
    <w:rsid w:val="00B242E2"/>
    <w:rsid w:val="00B318BF"/>
    <w:rsid w:val="00B66A21"/>
    <w:rsid w:val="00BB3256"/>
    <w:rsid w:val="00BB4A31"/>
    <w:rsid w:val="00C13753"/>
    <w:rsid w:val="00C261CD"/>
    <w:rsid w:val="00C54D9A"/>
    <w:rsid w:val="00C83A6C"/>
    <w:rsid w:val="00D05DC0"/>
    <w:rsid w:val="00D7379C"/>
    <w:rsid w:val="00D96BEA"/>
    <w:rsid w:val="00DB1298"/>
    <w:rsid w:val="00DC75E8"/>
    <w:rsid w:val="00E35E0F"/>
    <w:rsid w:val="00E371D1"/>
    <w:rsid w:val="00E53738"/>
    <w:rsid w:val="00E874AD"/>
    <w:rsid w:val="00E93544"/>
    <w:rsid w:val="00EA399C"/>
    <w:rsid w:val="00ED5F67"/>
    <w:rsid w:val="00EF08AE"/>
    <w:rsid w:val="00EF5790"/>
    <w:rsid w:val="00FC07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oledfund.org/Details/Study/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9637-41BD-48F8-B9E3-D35D7CF75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Sillick, Susan</cp:lastModifiedBy>
  <cp:revision>7</cp:revision>
  <cp:lastPrinted>2011-06-21T20:32:00Z</cp:lastPrinted>
  <dcterms:created xsi:type="dcterms:W3CDTF">2015-01-30T21:03:00Z</dcterms:created>
  <dcterms:modified xsi:type="dcterms:W3CDTF">2015-01-30T21:52:00Z</dcterms:modified>
</cp:coreProperties>
</file>