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</w:t>
      </w:r>
      <w:r w:rsidR="003C59AB">
        <w:rPr>
          <w:rFonts w:ascii="Arial" w:hAnsi="Arial" w:cs="Arial"/>
          <w:sz w:val="24"/>
          <w:szCs w:val="24"/>
          <w:u w:val="single"/>
        </w:rPr>
        <w:t>12/31</w:t>
      </w:r>
      <w:r w:rsidR="006B17D7" w:rsidRPr="006B17D7">
        <w:rPr>
          <w:rFonts w:ascii="Arial" w:hAnsi="Arial" w:cs="Arial"/>
          <w:sz w:val="24"/>
          <w:szCs w:val="24"/>
          <w:u w:val="single"/>
        </w:rPr>
        <w:t>/2014</w:t>
      </w:r>
      <w:r>
        <w:rPr>
          <w:rFonts w:ascii="Arial" w:hAnsi="Arial" w:cs="Arial"/>
          <w:sz w:val="24"/>
          <w:szCs w:val="24"/>
        </w:rPr>
        <w:t>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</w:t>
      </w:r>
      <w:r w:rsidR="00A46A50">
        <w:rPr>
          <w:rFonts w:ascii="Arial" w:hAnsi="Arial" w:cs="Arial"/>
          <w:sz w:val="24"/>
          <w:szCs w:val="24"/>
          <w:u w:val="single"/>
        </w:rPr>
        <w:t>Vermont Agency of Transportation</w:t>
      </w:r>
      <w:r>
        <w:rPr>
          <w:rFonts w:ascii="Arial" w:hAnsi="Arial" w:cs="Arial"/>
          <w:sz w:val="24"/>
          <w:szCs w:val="24"/>
        </w:rPr>
        <w:t>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A46A50" w:rsidP="000A46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TPF-5(222)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8E2FC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76682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3C59A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3C59AB" w:rsidP="003C59A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FE"/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A46A5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A46A50">
              <w:t>New England Transportation Consortium (VI)</w:t>
            </w:r>
          </w:p>
          <w:p w:rsidR="00743C01" w:rsidRPr="00B66A21" w:rsidRDefault="00743C01" w:rsidP="00F53BC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86BF4" w:rsidRPr="009D408F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 Ahearn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86BF4" w:rsidRPr="009D408F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46A50">
              <w:rPr>
                <w:rFonts w:ascii="Arial" w:hAnsi="Arial" w:cs="Arial"/>
                <w:sz w:val="20"/>
                <w:szCs w:val="20"/>
              </w:rPr>
              <w:t>802-828-2561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Default="006A60E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46A50" w:rsidRPr="000C5B99">
                <w:rPr>
                  <w:rStyle w:val="Hyperlink"/>
                  <w:rFonts w:ascii="Arial" w:hAnsi="Arial" w:cs="Arial"/>
                  <w:sz w:val="20"/>
                  <w:szCs w:val="20"/>
                </w:rPr>
                <w:t>Bill.Ahearn@state.vt.us</w:t>
              </w:r>
            </w:hyperlink>
          </w:p>
          <w:p w:rsidR="00A46A50" w:rsidRPr="00B66A21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9594F" w:rsidRPr="00055579" w:rsidRDefault="003269A2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CA0306</w:t>
            </w:r>
          </w:p>
          <w:p w:rsidR="00BF259C" w:rsidRPr="009D408F" w:rsidRDefault="00BF259C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9594F" w:rsidRDefault="003269A2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06-4</w:t>
            </w:r>
          </w:p>
          <w:p w:rsidR="003269A2" w:rsidRDefault="003269A2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07-1</w:t>
            </w:r>
          </w:p>
          <w:p w:rsidR="003269A2" w:rsidRDefault="003269A2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09-2</w:t>
            </w:r>
          </w:p>
          <w:p w:rsidR="003269A2" w:rsidRDefault="003269A2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09-3</w:t>
            </w:r>
          </w:p>
          <w:p w:rsidR="003269A2" w:rsidRDefault="003269A2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10-3</w:t>
            </w:r>
          </w:p>
          <w:p w:rsidR="00766820" w:rsidRDefault="00766820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13-1</w:t>
            </w:r>
          </w:p>
          <w:p w:rsidR="0059594F" w:rsidRPr="009D408F" w:rsidRDefault="00766820" w:rsidP="00BF521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13-2</w:t>
            </w:r>
          </w:p>
        </w:tc>
        <w:tc>
          <w:tcPr>
            <w:tcW w:w="3420" w:type="dxa"/>
          </w:tcPr>
          <w:p w:rsidR="00535598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786BF4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9/16/13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7/1/13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9/1/13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9/1/13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9/16/13</w:t>
            </w:r>
          </w:p>
          <w:p w:rsidR="00766820" w:rsidRDefault="00766820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9/1/14</w:t>
            </w:r>
          </w:p>
          <w:p w:rsidR="00766820" w:rsidRPr="00B66A21" w:rsidRDefault="00766820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6/1/14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06-4    9/15/15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07-1    3/31/16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09-2    2/28/16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09-3    8/31/15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10-3    9/15/15</w:t>
            </w:r>
          </w:p>
          <w:p w:rsidR="00766820" w:rsidRDefault="00766820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13-1    8/31/16</w:t>
            </w:r>
          </w:p>
          <w:p w:rsidR="00D30BA2" w:rsidRPr="009D408F" w:rsidRDefault="00766820" w:rsidP="00BF521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13-2    5/31/16</w:t>
            </w: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9/15/15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3/31/16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2/28/16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8/31/15</w:t>
            </w:r>
          </w:p>
          <w:p w:rsid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9/15/15</w:t>
            </w:r>
          </w:p>
          <w:p w:rsidR="00544B89" w:rsidRDefault="00766820" w:rsidP="00C3113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8/31/16</w:t>
            </w:r>
          </w:p>
          <w:p w:rsidR="00766820" w:rsidRPr="009D408F" w:rsidRDefault="00766820" w:rsidP="00C3113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5/31/16</w:t>
            </w:r>
          </w:p>
        </w:tc>
        <w:tc>
          <w:tcPr>
            <w:tcW w:w="3420" w:type="dxa"/>
          </w:tcPr>
          <w:p w:rsidR="00F54200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</w:t>
            </w:r>
            <w:r w:rsidR="00F542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Default="003269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3269A2" w:rsidRDefault="003269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3269A2" w:rsidRDefault="003269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3269A2" w:rsidRDefault="003269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3269A2" w:rsidRDefault="003269A2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766820" w:rsidRDefault="00766820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1C2F45" w:rsidRPr="00B66A21" w:rsidRDefault="00766820" w:rsidP="00BF521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3269A2" w:rsidP="00F53BCC">
      <w:pPr>
        <w:spacing w:after="0"/>
        <w:ind w:left="-27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sym w:font="Wingdings" w:char="F0FE"/>
      </w:r>
      <w:r w:rsidR="001822FD" w:rsidRPr="00B66A21"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66820" w:rsidRDefault="0076682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66820" w:rsidRDefault="0076682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66820" w:rsidRDefault="0076682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66820" w:rsidRPr="00B66A21" w:rsidRDefault="0076682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C59AB" w:rsidRDefault="003C59AB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3269A2" w:rsidRP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06-4    $242,909</w:t>
            </w:r>
          </w:p>
          <w:p w:rsidR="003269A2" w:rsidRP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07-1    $198,154</w:t>
            </w:r>
          </w:p>
          <w:p w:rsidR="003269A2" w:rsidRP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09-2    $80,000</w:t>
            </w:r>
          </w:p>
          <w:p w:rsidR="003269A2" w:rsidRPr="003269A2" w:rsidRDefault="003269A2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09-3    $165,000</w:t>
            </w:r>
          </w:p>
          <w:p w:rsidR="00383656" w:rsidRDefault="003269A2" w:rsidP="00E83E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10-3    $150,158</w:t>
            </w:r>
          </w:p>
          <w:p w:rsidR="00766820" w:rsidRDefault="00766820" w:rsidP="00E83E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13-1    $174,923</w:t>
            </w:r>
          </w:p>
          <w:p w:rsidR="00766820" w:rsidRPr="003269A2" w:rsidRDefault="00766820" w:rsidP="00E83E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13-2    $249,785</w:t>
            </w:r>
          </w:p>
        </w:tc>
        <w:tc>
          <w:tcPr>
            <w:tcW w:w="3330" w:type="dxa"/>
          </w:tcPr>
          <w:p w:rsidR="00FD17EB" w:rsidRPr="003269A2" w:rsidRDefault="00766820" w:rsidP="00FD1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$5,247.26</w:t>
            </w:r>
          </w:p>
          <w:p w:rsidR="003269A2" w:rsidRPr="003269A2" w:rsidRDefault="008E2FC9" w:rsidP="00FD1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66820">
              <w:rPr>
                <w:rFonts w:ascii="Arial" w:hAnsi="Arial" w:cs="Arial"/>
                <w:sz w:val="20"/>
                <w:szCs w:val="20"/>
              </w:rPr>
              <w:t>90,489.26</w:t>
            </w:r>
            <w:r w:rsidR="003C59AB">
              <w:rPr>
                <w:rFonts w:ascii="Arial" w:hAnsi="Arial" w:cs="Arial"/>
                <w:sz w:val="20"/>
                <w:szCs w:val="20"/>
              </w:rPr>
              <w:t xml:space="preserve">  92,237.22</w:t>
            </w:r>
          </w:p>
          <w:p w:rsidR="003269A2" w:rsidRPr="003269A2" w:rsidRDefault="006B17D7" w:rsidP="00FD1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F5213">
              <w:rPr>
                <w:rFonts w:ascii="Arial" w:hAnsi="Arial" w:cs="Arial"/>
                <w:sz w:val="20"/>
                <w:szCs w:val="20"/>
              </w:rPr>
              <w:t>17,295.14</w:t>
            </w:r>
          </w:p>
          <w:p w:rsidR="003269A2" w:rsidRPr="003269A2" w:rsidRDefault="006B17D7" w:rsidP="00FD1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F5213">
              <w:rPr>
                <w:rFonts w:ascii="Arial" w:hAnsi="Arial" w:cs="Arial"/>
                <w:sz w:val="20"/>
                <w:szCs w:val="20"/>
              </w:rPr>
              <w:t>38,810.83</w:t>
            </w:r>
            <w:r w:rsidR="003C59AB">
              <w:rPr>
                <w:rFonts w:ascii="Arial" w:hAnsi="Arial" w:cs="Arial"/>
                <w:sz w:val="20"/>
                <w:szCs w:val="20"/>
              </w:rPr>
              <w:t xml:space="preserve">  76,869.23</w:t>
            </w:r>
          </w:p>
          <w:p w:rsidR="00874EF7" w:rsidRDefault="00BF5213" w:rsidP="00326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$13,611.77</w:t>
            </w:r>
          </w:p>
          <w:p w:rsidR="00BF5213" w:rsidRDefault="003C59AB" w:rsidP="00326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$17,491.75</w:t>
            </w:r>
          </w:p>
          <w:p w:rsidR="00BF5213" w:rsidRPr="003269A2" w:rsidRDefault="00BF5213" w:rsidP="00326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3269A2" w:rsidRDefault="00BF5213" w:rsidP="00C24A1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269A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269A2" w:rsidRPr="003269A2" w:rsidRDefault="003C59AB" w:rsidP="00C24A1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3269A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269A2" w:rsidRPr="003269A2" w:rsidRDefault="003C59AB" w:rsidP="00C24A1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3269A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269A2" w:rsidRPr="003269A2" w:rsidRDefault="003C59AB" w:rsidP="00C24A1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="003269A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6B2633" w:rsidRDefault="003C59AB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3269A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F5213" w:rsidRDefault="003C59AB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F5213">
              <w:rPr>
                <w:rFonts w:ascii="Arial" w:hAnsi="Arial" w:cs="Arial"/>
                <w:sz w:val="20"/>
                <w:szCs w:val="20"/>
              </w:rPr>
              <w:t>5%</w:t>
            </w:r>
          </w:p>
          <w:p w:rsidR="00BF5213" w:rsidRPr="003269A2" w:rsidRDefault="00BF5213" w:rsidP="003269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963258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253532" w:rsidRPr="003269A2" w:rsidRDefault="00253532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06-4    $</w:t>
            </w:r>
            <w:r w:rsidR="00766820">
              <w:rPr>
                <w:rFonts w:ascii="Arial" w:hAnsi="Arial" w:cs="Arial"/>
                <w:sz w:val="20"/>
                <w:szCs w:val="20"/>
              </w:rPr>
              <w:t>5,247.26</w:t>
            </w:r>
            <w:r w:rsidR="00516C3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C59AB">
              <w:rPr>
                <w:rFonts w:ascii="Arial" w:hAnsi="Arial" w:cs="Arial"/>
                <w:sz w:val="20"/>
                <w:szCs w:val="20"/>
              </w:rPr>
              <w:t>0</w:t>
            </w:r>
            <w:r w:rsidR="00516C3F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253532" w:rsidRPr="003269A2" w:rsidRDefault="00253532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07-1    $</w:t>
            </w:r>
            <w:r w:rsidR="003C59AB">
              <w:rPr>
                <w:rFonts w:ascii="Arial" w:hAnsi="Arial" w:cs="Arial"/>
                <w:sz w:val="20"/>
                <w:szCs w:val="20"/>
              </w:rPr>
              <w:t>92,237.22</w:t>
            </w:r>
            <w:r w:rsidR="00BF521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C59AB">
              <w:rPr>
                <w:rFonts w:ascii="Arial" w:hAnsi="Arial" w:cs="Arial"/>
                <w:sz w:val="20"/>
                <w:szCs w:val="20"/>
              </w:rPr>
              <w:t>1</w:t>
            </w:r>
            <w:r w:rsidR="00516C3F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253532" w:rsidRPr="003269A2" w:rsidRDefault="00253532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09-2    $</w:t>
            </w:r>
            <w:r w:rsidR="00BF5213">
              <w:rPr>
                <w:rFonts w:ascii="Arial" w:hAnsi="Arial" w:cs="Arial"/>
                <w:sz w:val="20"/>
                <w:szCs w:val="20"/>
              </w:rPr>
              <w:t>17,295.14</w:t>
            </w:r>
            <w:r w:rsidR="008E2FC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F521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C59AB">
              <w:rPr>
                <w:rFonts w:ascii="Arial" w:hAnsi="Arial" w:cs="Arial"/>
                <w:sz w:val="20"/>
                <w:szCs w:val="20"/>
              </w:rPr>
              <w:t>0</w:t>
            </w:r>
            <w:r w:rsidR="00516C3F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E2FC9" w:rsidRDefault="00253532" w:rsidP="00BF5213">
            <w:pPr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NETC 09-3    $</w:t>
            </w:r>
            <w:r w:rsidR="003C59AB">
              <w:rPr>
                <w:rFonts w:ascii="Arial" w:hAnsi="Arial" w:cs="Arial"/>
                <w:sz w:val="20"/>
                <w:szCs w:val="20"/>
              </w:rPr>
              <w:t>76,869.23</w:t>
            </w:r>
            <w:r w:rsidR="00BF521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C64C3">
              <w:rPr>
                <w:rFonts w:ascii="Arial" w:hAnsi="Arial" w:cs="Arial"/>
                <w:sz w:val="20"/>
                <w:szCs w:val="20"/>
              </w:rPr>
              <w:t>23</w:t>
            </w:r>
            <w:r w:rsidR="00516C3F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F5930" w:rsidRDefault="008E2FC9" w:rsidP="00BF521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253532" w:rsidRPr="003269A2">
              <w:rPr>
                <w:rFonts w:ascii="Arial" w:hAnsi="Arial" w:cs="Arial"/>
                <w:sz w:val="20"/>
                <w:szCs w:val="20"/>
              </w:rPr>
              <w:t>ETC 10-3    $</w:t>
            </w:r>
            <w:r w:rsidR="00BF5213">
              <w:rPr>
                <w:rFonts w:ascii="Arial" w:hAnsi="Arial" w:cs="Arial"/>
                <w:sz w:val="20"/>
                <w:szCs w:val="20"/>
              </w:rPr>
              <w:t>13,611.77</w:t>
            </w:r>
            <w:r w:rsidR="00516C3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F52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C59AB">
              <w:rPr>
                <w:rFonts w:ascii="Arial" w:hAnsi="Arial" w:cs="Arial"/>
                <w:sz w:val="20"/>
                <w:szCs w:val="20"/>
              </w:rPr>
              <w:t>0</w:t>
            </w:r>
            <w:r w:rsidR="00516C3F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F5213" w:rsidRDefault="003C59AB" w:rsidP="00BF521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NETC 13-1    $17,491.75      </w:t>
            </w:r>
            <w:r w:rsidR="00AC64C3">
              <w:rPr>
                <w:rFonts w:ascii="Arial" w:hAnsi="Arial" w:cs="Arial"/>
                <w:sz w:val="20"/>
                <w:szCs w:val="20"/>
              </w:rPr>
              <w:t>1</w:t>
            </w:r>
            <w:r w:rsidR="00BF5213">
              <w:rPr>
                <w:rFonts w:ascii="Arial" w:hAnsi="Arial" w:cs="Arial"/>
                <w:sz w:val="20"/>
                <w:szCs w:val="20"/>
              </w:rPr>
              <w:t>0%</w:t>
            </w:r>
          </w:p>
          <w:p w:rsidR="00BF5213" w:rsidRPr="00383656" w:rsidRDefault="00BF5213" w:rsidP="00BF5213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13-2    $0                    0%</w:t>
            </w:r>
          </w:p>
        </w:tc>
        <w:tc>
          <w:tcPr>
            <w:tcW w:w="3330" w:type="dxa"/>
          </w:tcPr>
          <w:p w:rsidR="00253532" w:rsidRPr="003269A2" w:rsidRDefault="00766820" w:rsidP="002535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3C59AB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253532" w:rsidRPr="003269A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$</w:t>
            </w:r>
            <w:r w:rsidR="003C59AB">
              <w:rPr>
                <w:rFonts w:ascii="Arial" w:hAnsi="Arial" w:cs="Arial"/>
                <w:sz w:val="20"/>
                <w:szCs w:val="20"/>
              </w:rPr>
              <w:t>1,747.96</w:t>
            </w:r>
          </w:p>
          <w:p w:rsidR="00253532" w:rsidRPr="003269A2" w:rsidRDefault="006B17D7" w:rsidP="002535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3C59AB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253532" w:rsidRPr="003269A2" w:rsidRDefault="006B17D7" w:rsidP="002535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C64C3">
              <w:rPr>
                <w:rFonts w:ascii="Arial" w:hAnsi="Arial" w:cs="Arial"/>
                <w:sz w:val="20"/>
                <w:szCs w:val="20"/>
              </w:rPr>
              <w:t>38,058.40</w:t>
            </w:r>
          </w:p>
          <w:p w:rsidR="00311B09" w:rsidRDefault="00253532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269A2">
              <w:rPr>
                <w:rFonts w:ascii="Arial" w:hAnsi="Arial" w:cs="Arial"/>
                <w:sz w:val="20"/>
                <w:szCs w:val="20"/>
              </w:rPr>
              <w:t>$</w:t>
            </w:r>
            <w:r w:rsidR="003C59AB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BF5213" w:rsidRDefault="00BF5213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3C59AB">
              <w:rPr>
                <w:rFonts w:ascii="Arial" w:hAnsi="Arial" w:cs="Arial"/>
                <w:sz w:val="20"/>
                <w:szCs w:val="20"/>
              </w:rPr>
              <w:t>17,491.75</w:t>
            </w:r>
          </w:p>
          <w:p w:rsidR="00BF5930" w:rsidRPr="00B73B47" w:rsidRDefault="00BF5213" w:rsidP="00BF5213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253532" w:rsidRPr="003269A2" w:rsidRDefault="003C59AB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25353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253532" w:rsidRPr="003269A2" w:rsidRDefault="003C59AB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25353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253532" w:rsidRPr="003269A2" w:rsidRDefault="003C59AB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25353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253532" w:rsidRPr="003269A2" w:rsidRDefault="003C59AB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25353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C59AB" w:rsidRDefault="003C59AB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253532" w:rsidRPr="003269A2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F5213" w:rsidRDefault="003C59AB" w:rsidP="0025353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BF5213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F5213" w:rsidRPr="00B73B47" w:rsidRDefault="003C59AB" w:rsidP="00253532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BF521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963258" w:rsidRDefault="0096325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08"/>
      </w:tblGrid>
      <w:tr w:rsidR="00601EBD" w:rsidTr="00786BF4">
        <w:tc>
          <w:tcPr>
            <w:tcW w:w="10908" w:type="dxa"/>
          </w:tcPr>
          <w:p w:rsidR="00E35E0F" w:rsidRDefault="00E35E0F" w:rsidP="00786B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32" w:rsidRPr="0025353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06-4</w:t>
            </w:r>
            <w:r w:rsidRPr="00253532">
              <w:rPr>
                <w:rFonts w:ascii="Arial" w:hAnsi="Arial" w:cs="Arial"/>
                <w:sz w:val="20"/>
                <w:szCs w:val="20"/>
              </w:rPr>
              <w:tab/>
              <w:t>Preventative Maintenance and Timing of Applications</w:t>
            </w:r>
          </w:p>
          <w:p w:rsidR="00253532" w:rsidRPr="0025353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07-1</w:t>
            </w:r>
            <w:r w:rsidRPr="00253532">
              <w:rPr>
                <w:rFonts w:ascii="Arial" w:hAnsi="Arial" w:cs="Arial"/>
                <w:sz w:val="20"/>
                <w:szCs w:val="20"/>
              </w:rPr>
              <w:tab/>
              <w:t>In-Place Response Mechanisms of Recycled Layers Due to Temperature and Moisture Variations</w:t>
            </w:r>
          </w:p>
          <w:p w:rsidR="00253532" w:rsidRPr="0025353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09-2</w:t>
            </w:r>
            <w:r w:rsidRPr="00253532">
              <w:rPr>
                <w:rFonts w:ascii="Arial" w:hAnsi="Arial" w:cs="Arial"/>
                <w:sz w:val="20"/>
                <w:szCs w:val="20"/>
              </w:rPr>
              <w:tab/>
              <w:t>Effective Establishment of Native Grasses on Roadsides</w:t>
            </w:r>
          </w:p>
          <w:p w:rsidR="00253532" w:rsidRPr="0025353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09-3</w:t>
            </w:r>
            <w:r w:rsidRPr="00253532">
              <w:rPr>
                <w:rFonts w:ascii="Arial" w:hAnsi="Arial" w:cs="Arial"/>
                <w:sz w:val="20"/>
                <w:szCs w:val="20"/>
              </w:rPr>
              <w:tab/>
              <w:t>Advanced Composite Materials: Prototype Development and Demonstration</w:t>
            </w:r>
          </w:p>
          <w:p w:rsidR="00601EBD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10-3</w:t>
            </w:r>
            <w:r w:rsidRPr="00253532">
              <w:rPr>
                <w:rFonts w:ascii="Arial" w:hAnsi="Arial" w:cs="Arial"/>
                <w:sz w:val="20"/>
                <w:szCs w:val="20"/>
              </w:rPr>
              <w:tab/>
              <w:t>Low Temperature and Moisture Susceptibility of RAP Mixtures with Warm Mix Technology</w:t>
            </w:r>
          </w:p>
          <w:p w:rsidR="00BA1F43" w:rsidRDefault="00BA1F43" w:rsidP="00BA1F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A1F43">
              <w:rPr>
                <w:rFonts w:ascii="Arial" w:hAnsi="Arial" w:cs="Arial"/>
                <w:sz w:val="20"/>
                <w:szCs w:val="20"/>
              </w:rPr>
              <w:t>Development of High-Early Strength Concrete for Accelerated Bridge Construction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BA1F43">
              <w:rPr>
                <w:rFonts w:ascii="Arial" w:hAnsi="Arial" w:cs="Arial"/>
                <w:sz w:val="20"/>
                <w:szCs w:val="20"/>
              </w:rPr>
              <w:t>losure Pour Connections</w:t>
            </w:r>
          </w:p>
          <w:p w:rsidR="00BA1F43" w:rsidRDefault="00BA1F43" w:rsidP="00BA1F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A1F43">
              <w:rPr>
                <w:rFonts w:ascii="Arial" w:hAnsi="Arial" w:cs="Arial"/>
                <w:sz w:val="20"/>
                <w:szCs w:val="20"/>
              </w:rPr>
              <w:t xml:space="preserve">HMA Mixtures Containing Recycled Asphalt Shingles (RAS): Low Temperature and Fatigue Performance of 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 w:rsidRPr="00BA1F43">
              <w:rPr>
                <w:rFonts w:ascii="Arial" w:hAnsi="Arial" w:cs="Arial"/>
                <w:sz w:val="20"/>
                <w:szCs w:val="20"/>
              </w:rPr>
              <w:t>lant-Produced Mixtures</w:t>
            </w:r>
          </w:p>
          <w:p w:rsidR="0025353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1B6083" w:rsidRDefault="00601EBD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6083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32" w:rsidRDefault="00253532" w:rsidP="00AC64C3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06-4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64C3" w:rsidRPr="00AC64C3">
              <w:rPr>
                <w:rFonts w:ascii="Arial" w:hAnsi="Arial" w:cs="Arial"/>
                <w:sz w:val="20"/>
                <w:szCs w:val="20"/>
              </w:rPr>
              <w:t>UMass Dartmouth continued work on the literature review and internet survey (Task 2 and 3).</w:t>
            </w:r>
            <w:r w:rsidR="00AC6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C64C3" w:rsidRPr="00AC64C3">
              <w:rPr>
                <w:rFonts w:ascii="Arial" w:hAnsi="Arial" w:cs="Arial"/>
                <w:sz w:val="20"/>
                <w:szCs w:val="20"/>
              </w:rPr>
              <w:t xml:space="preserve">A new contract was prepared for the consultant Mr. David </w:t>
            </w:r>
            <w:proofErr w:type="spellStart"/>
            <w:r w:rsidR="00AC64C3" w:rsidRPr="00AC64C3">
              <w:rPr>
                <w:rFonts w:ascii="Arial" w:hAnsi="Arial" w:cs="Arial"/>
                <w:sz w:val="20"/>
                <w:szCs w:val="20"/>
              </w:rPr>
              <w:t>Peshkin</w:t>
            </w:r>
            <w:proofErr w:type="spellEnd"/>
            <w:r w:rsidR="00AC64C3" w:rsidRPr="00AC64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6C3F" w:rsidRPr="00253532" w:rsidRDefault="00516C3F" w:rsidP="00253532">
            <w:pPr>
              <w:rPr>
                <w:rFonts w:ascii="Arial" w:hAnsi="Arial" w:cs="Arial"/>
                <w:sz w:val="20"/>
                <w:szCs w:val="20"/>
              </w:rPr>
            </w:pPr>
          </w:p>
          <w:p w:rsidR="001B6083" w:rsidRPr="001B6083" w:rsidRDefault="00253532" w:rsidP="001B6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07-1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During this period, the instrumentation of the Auburn, ME site on Rt. 122 was completed and ME DOT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conducted baseline FWD testing for the two sites.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The research team contracted with Mr. Bob Eaton to have data loggers installed at the three NH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6083" w:rsidRPr="001B6083">
              <w:rPr>
                <w:rFonts w:ascii="Arial" w:hAnsi="Arial" w:cs="Arial"/>
                <w:sz w:val="20"/>
                <w:szCs w:val="20"/>
              </w:rPr>
              <w:t>Kancamagus</w:t>
            </w:r>
            <w:proofErr w:type="spellEnd"/>
            <w:r w:rsidR="001B6083" w:rsidRPr="001B6083">
              <w:rPr>
                <w:rFonts w:ascii="Arial" w:hAnsi="Arial" w:cs="Arial"/>
                <w:sz w:val="20"/>
                <w:szCs w:val="20"/>
              </w:rPr>
              <w:t xml:space="preserve"> sections to collect hourly temperature in the pavements through the winter and spring thaw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period. The research team has also contracted with CRREL to conduct the FWD testing on the Warren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 xml:space="preserve">Flats and </w:t>
            </w:r>
            <w:proofErr w:type="spellStart"/>
            <w:r w:rsidR="001B6083" w:rsidRPr="001B6083">
              <w:rPr>
                <w:rFonts w:ascii="Arial" w:hAnsi="Arial" w:cs="Arial"/>
                <w:sz w:val="20"/>
                <w:szCs w:val="20"/>
              </w:rPr>
              <w:t>Kancamagus</w:t>
            </w:r>
            <w:proofErr w:type="spellEnd"/>
            <w:r w:rsidR="001B6083" w:rsidRPr="001B6083">
              <w:rPr>
                <w:rFonts w:ascii="Arial" w:hAnsi="Arial" w:cs="Arial"/>
                <w:sz w:val="20"/>
                <w:szCs w:val="20"/>
              </w:rPr>
              <w:t xml:space="preserve"> sections during the winter and 2015 spring thaw and recovery season. ME DOT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has generously agreed to conduct the FWD testing at the two ME locations during the winter and 2015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spring thaw and recovery season. The proposed plan for the FWD testing is listed below: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1. Fall baseline (completed)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2. Frozen condition (Jan/early Feb)</w:t>
            </w:r>
          </w:p>
          <w:p w:rsidR="001B6083" w:rsidRPr="001B6083" w:rsidRDefault="001B6083" w:rsidP="001B6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>3. Pre-thaw (late Feb/early March)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4. Weekly during thaw and early recovery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5. Bi-weekly through recovery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6. Early July</w:t>
            </w:r>
          </w:p>
          <w:p w:rsidR="00144985" w:rsidRPr="00144985" w:rsidRDefault="001B6083" w:rsidP="001B6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>If possible, early thaw and refreeze events will also be captured. The research team will be monitoring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the temperature data and air temperatures to determine the appropriate timing for the FWD teams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begin the weekly testing to capture the spring thaw.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The research team held a web conference with the technical committee on December 5th to discuss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project status and plans. Additional questions were received after the meeting from TC member David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Kilpatrick and the research team sent a response to all TC members on December 22nd.</w:t>
            </w:r>
          </w:p>
          <w:p w:rsidR="00144985" w:rsidRPr="00144985" w:rsidRDefault="00144985" w:rsidP="001449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6083" w:rsidRDefault="001B6083" w:rsidP="001449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44985" w:rsidRPr="001B6083" w:rsidRDefault="00253532" w:rsidP="001449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lastRenderedPageBreak/>
              <w:t>09-2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44985" w:rsidRPr="001B6083">
              <w:rPr>
                <w:rFonts w:ascii="Arial" w:hAnsi="Arial" w:cs="Arial"/>
                <w:sz w:val="20"/>
                <w:szCs w:val="20"/>
              </w:rPr>
              <w:t>The following activities were implemented during this reporting period:</w:t>
            </w:r>
          </w:p>
          <w:p w:rsidR="001B6083" w:rsidRDefault="001B6083" w:rsidP="001B60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B6083" w:rsidRPr="001B6083" w:rsidRDefault="001B6083" w:rsidP="001B60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>Survey and Interviews:</w:t>
            </w:r>
          </w:p>
          <w:p w:rsidR="001B6083" w:rsidRPr="001B6083" w:rsidRDefault="001B6083" w:rsidP="001B608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>November 17, 2014 – interview with the RI DOT managers</w:t>
            </w:r>
          </w:p>
          <w:p w:rsidR="001B6083" w:rsidRPr="001B6083" w:rsidRDefault="001B6083" w:rsidP="001B608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>December 8, 2014 – interview with the Maine DOT managers</w:t>
            </w:r>
          </w:p>
          <w:p w:rsidR="001B6083" w:rsidRPr="001B6083" w:rsidRDefault="001B6083" w:rsidP="001B608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 xml:space="preserve">December 22, 2014 – interview with the </w:t>
            </w:r>
            <w:proofErr w:type="spellStart"/>
            <w:r w:rsidRPr="001B6083">
              <w:rPr>
                <w:rFonts w:ascii="Arial" w:hAnsi="Arial" w:cs="Arial"/>
                <w:sz w:val="20"/>
                <w:szCs w:val="20"/>
              </w:rPr>
              <w:t>Mew</w:t>
            </w:r>
            <w:proofErr w:type="spellEnd"/>
            <w:r w:rsidRPr="001B6083">
              <w:rPr>
                <w:rFonts w:ascii="Arial" w:hAnsi="Arial" w:cs="Arial"/>
                <w:sz w:val="20"/>
                <w:szCs w:val="20"/>
              </w:rPr>
              <w:t xml:space="preserve"> Hampshire DOT managers</w:t>
            </w:r>
          </w:p>
          <w:p w:rsidR="001B6083" w:rsidRDefault="001B6083" w:rsidP="001B608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>January 6, 2014 – scheduled to interview the Massachusetts DOT managers</w:t>
            </w:r>
          </w:p>
          <w:p w:rsidR="001B6083" w:rsidRPr="001B6083" w:rsidRDefault="001B6083" w:rsidP="001B608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B6083" w:rsidRPr="001B6083" w:rsidRDefault="001B6083" w:rsidP="001B60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>Maintenance of the demonstration sites along Rt. 6:</w:t>
            </w:r>
          </w:p>
          <w:p w:rsidR="001B6083" w:rsidRPr="001B6083" w:rsidRDefault="001B6083" w:rsidP="001B608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 xml:space="preserve">October 15, 2014: </w:t>
            </w:r>
            <w:proofErr w:type="spellStart"/>
            <w:r w:rsidRPr="001B6083">
              <w:rPr>
                <w:rFonts w:ascii="Arial" w:hAnsi="Arial" w:cs="Arial"/>
                <w:sz w:val="20"/>
                <w:szCs w:val="20"/>
              </w:rPr>
              <w:t>Campanelli</w:t>
            </w:r>
            <w:proofErr w:type="spellEnd"/>
            <w:r w:rsidRPr="001B6083">
              <w:rPr>
                <w:rFonts w:ascii="Arial" w:hAnsi="Arial" w:cs="Arial"/>
                <w:sz w:val="20"/>
                <w:szCs w:val="20"/>
              </w:rPr>
              <w:t xml:space="preserve"> established native cool-season grass plots</w:t>
            </w:r>
          </w:p>
          <w:p w:rsidR="001B6083" w:rsidRPr="001B6083" w:rsidRDefault="001B6083" w:rsidP="001B608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 xml:space="preserve">December 1, 2014: </w:t>
            </w:r>
            <w:proofErr w:type="spellStart"/>
            <w:r w:rsidRPr="001B6083">
              <w:rPr>
                <w:rFonts w:ascii="Arial" w:hAnsi="Arial" w:cs="Arial"/>
                <w:sz w:val="20"/>
                <w:szCs w:val="20"/>
              </w:rPr>
              <w:t>Kuzovkina</w:t>
            </w:r>
            <w:proofErr w:type="spellEnd"/>
            <w:r w:rsidRPr="001B608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B6083">
              <w:rPr>
                <w:rFonts w:ascii="Arial" w:hAnsi="Arial" w:cs="Arial"/>
                <w:sz w:val="20"/>
                <w:szCs w:val="20"/>
              </w:rPr>
              <w:t>Campanelli</w:t>
            </w:r>
            <w:proofErr w:type="spellEnd"/>
            <w:r w:rsidRPr="001B6083">
              <w:rPr>
                <w:rFonts w:ascii="Arial" w:hAnsi="Arial" w:cs="Arial"/>
                <w:sz w:val="20"/>
                <w:szCs w:val="20"/>
              </w:rPr>
              <w:t xml:space="preserve"> prepared clay balls with native grass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seeds for dormant seeding</w:t>
            </w:r>
          </w:p>
          <w:p w:rsidR="001B6083" w:rsidRPr="001B6083" w:rsidRDefault="001B6083" w:rsidP="001B608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 xml:space="preserve">December 15, 2014: </w:t>
            </w:r>
            <w:proofErr w:type="spellStart"/>
            <w:r w:rsidRPr="001B6083">
              <w:rPr>
                <w:rFonts w:ascii="Arial" w:hAnsi="Arial" w:cs="Arial"/>
                <w:sz w:val="20"/>
                <w:szCs w:val="20"/>
              </w:rPr>
              <w:t>Campanelli</w:t>
            </w:r>
            <w:proofErr w:type="spellEnd"/>
            <w:r w:rsidRPr="001B6083">
              <w:rPr>
                <w:rFonts w:ascii="Arial" w:hAnsi="Arial" w:cs="Arial"/>
                <w:sz w:val="20"/>
                <w:szCs w:val="20"/>
              </w:rPr>
              <w:t xml:space="preserve"> established dormant seeding plots using clay balls and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direct seeding</w:t>
            </w:r>
          </w:p>
          <w:p w:rsidR="001B6083" w:rsidRPr="001B6083" w:rsidRDefault="001B6083" w:rsidP="001B608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083">
              <w:rPr>
                <w:rFonts w:ascii="Arial" w:hAnsi="Arial" w:cs="Arial"/>
                <w:sz w:val="20"/>
                <w:szCs w:val="20"/>
              </w:rPr>
              <w:t>Kuzovkina</w:t>
            </w:r>
            <w:proofErr w:type="spellEnd"/>
            <w:r w:rsidRPr="001B608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B6083">
              <w:rPr>
                <w:rFonts w:ascii="Arial" w:hAnsi="Arial" w:cs="Arial"/>
                <w:sz w:val="20"/>
                <w:szCs w:val="20"/>
              </w:rPr>
              <w:t>Campanelli</w:t>
            </w:r>
            <w:proofErr w:type="spellEnd"/>
            <w:r w:rsidRPr="001B6083">
              <w:rPr>
                <w:rFonts w:ascii="Arial" w:hAnsi="Arial" w:cs="Arial"/>
                <w:sz w:val="20"/>
                <w:szCs w:val="20"/>
              </w:rPr>
              <w:t xml:space="preserve"> conducted regular visits to the three sites to evaluate the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germination rates of grasses and forbs seeded in fall.</w:t>
            </w:r>
          </w:p>
          <w:p w:rsidR="001B6083" w:rsidRPr="001B6083" w:rsidRDefault="001B6083" w:rsidP="001B608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B6083" w:rsidRPr="001B6083" w:rsidRDefault="001B6083" w:rsidP="001B60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083">
              <w:rPr>
                <w:rFonts w:ascii="Arial" w:hAnsi="Arial" w:cs="Arial"/>
                <w:sz w:val="20"/>
                <w:szCs w:val="20"/>
              </w:rPr>
              <w:t>Campanelli</w:t>
            </w:r>
            <w:proofErr w:type="spellEnd"/>
            <w:r w:rsidRPr="001B6083">
              <w:rPr>
                <w:rFonts w:ascii="Arial" w:hAnsi="Arial" w:cs="Arial"/>
                <w:sz w:val="20"/>
                <w:szCs w:val="20"/>
              </w:rPr>
              <w:t xml:space="preserve"> visited a meadow in Western Connecticut installed by the DEEP using a TRUAX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seed drill in spring 2014 (Trust Land location: 262 Grantville Rd, Winsted, CT).</w:t>
            </w:r>
          </w:p>
          <w:p w:rsidR="001B6083" w:rsidRPr="001B6083" w:rsidRDefault="001B6083" w:rsidP="001B60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86DA2" w:rsidRPr="001B6083" w:rsidRDefault="001B6083" w:rsidP="001B60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>November 21, 2014: Native plant specialist Mark Brownlee from American Native Plant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Nursery/</w:t>
            </w:r>
            <w:proofErr w:type="spellStart"/>
            <w:r w:rsidRPr="001B6083">
              <w:rPr>
                <w:rFonts w:ascii="Arial" w:hAnsi="Arial" w:cs="Arial"/>
                <w:sz w:val="20"/>
                <w:szCs w:val="20"/>
              </w:rPr>
              <w:t>ArcheWild</w:t>
            </w:r>
            <w:proofErr w:type="spellEnd"/>
            <w:r w:rsidRPr="001B6083">
              <w:rPr>
                <w:rFonts w:ascii="Arial" w:hAnsi="Arial" w:cs="Arial"/>
                <w:sz w:val="20"/>
                <w:szCs w:val="20"/>
              </w:rPr>
              <w:t xml:space="preserve"> (Pennsylvania) was consulted to assist with the establishment protocols for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native species.</w:t>
            </w:r>
          </w:p>
          <w:p w:rsidR="001B6083" w:rsidRDefault="001B6083" w:rsidP="001B6083">
            <w:pPr>
              <w:rPr>
                <w:rFonts w:ascii="Arial" w:hAnsi="Arial" w:cs="Arial"/>
                <w:sz w:val="20"/>
                <w:szCs w:val="20"/>
              </w:rPr>
            </w:pPr>
          </w:p>
          <w:p w:rsidR="006C42B9" w:rsidRPr="006C42B9" w:rsidRDefault="00186DA2" w:rsidP="006C4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09-3,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2B9" w:rsidRPr="006C42B9">
              <w:rPr>
                <w:rFonts w:ascii="Arial" w:hAnsi="Arial" w:cs="Arial"/>
                <w:sz w:val="20"/>
                <w:szCs w:val="20"/>
              </w:rPr>
              <w:t>The following activities were implemented during this reporting period:</w:t>
            </w:r>
          </w:p>
          <w:p w:rsidR="001B6083" w:rsidRPr="001B6083" w:rsidRDefault="001B6083" w:rsidP="001B608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>Demonstration projects in Bangor, ME and Richmond, ME have been visited and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installations of FRP bridge drains were documented. One project in Westbrook,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ME has the specification from this project available for bid and closed on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December 10, 2014. This bridge uses 8 FRP bridge drains with specifications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from this project with and average line item price of all 5 contractors bidding of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$2,900 each (range of $2,000 to $3,500 </w:t>
            </w:r>
            <w:proofErr w:type="spellStart"/>
            <w:r w:rsidRPr="001B6083">
              <w:rPr>
                <w:rFonts w:ascii="Arial" w:hAnsi="Arial" w:cs="Arial"/>
                <w:sz w:val="20"/>
                <w:szCs w:val="20"/>
              </w:rPr>
              <w:t>ea</w:t>
            </w:r>
            <w:proofErr w:type="spellEnd"/>
            <w:r w:rsidRPr="001B6083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1B6083" w:rsidRPr="001B6083" w:rsidRDefault="001B6083" w:rsidP="001B608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 xml:space="preserve">Materials testing for baseline strength and durability specimens of ACO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Kenway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specimens were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completed. FRP Bridge Drain Pipe/Grace composites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have baseline control values completed. Durability testing is </w:t>
            </w:r>
            <w:proofErr w:type="spellStart"/>
            <w:r w:rsidRPr="001B6083">
              <w:rPr>
                <w:rFonts w:ascii="Arial" w:hAnsi="Arial" w:cs="Arial"/>
                <w:sz w:val="20"/>
                <w:szCs w:val="20"/>
              </w:rPr>
              <w:t>on going</w:t>
            </w:r>
            <w:proofErr w:type="spellEnd"/>
            <w:r w:rsidRPr="001B60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5E8C" w:rsidRPr="001B6083" w:rsidRDefault="001B6083" w:rsidP="001B608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B6083">
              <w:rPr>
                <w:rFonts w:ascii="Arial" w:hAnsi="Arial" w:cs="Arial"/>
                <w:sz w:val="20"/>
                <w:szCs w:val="20"/>
              </w:rPr>
              <w:t>An additional supplier of FRP bridge drains was identified who provide the drains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for the Richmond-Dresden bridge project in Maine. These drains are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documented in the report for demonstration projects to be submitted. This</w:t>
            </w:r>
            <w:r w:rsidRP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company is United Fiberglass of America in Springfield, OH.</w:t>
            </w:r>
          </w:p>
          <w:p w:rsidR="001B6083" w:rsidRPr="00A85E8C" w:rsidRDefault="001B6083" w:rsidP="001B608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A85E8C" w:rsidRDefault="00253532" w:rsidP="001B6083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10-3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B6083" w:rsidRPr="001B6083">
              <w:rPr>
                <w:rFonts w:ascii="Arial" w:hAnsi="Arial" w:cs="Arial"/>
                <w:sz w:val="20"/>
                <w:szCs w:val="20"/>
              </w:rPr>
              <w:t>Tilcon</w:t>
            </w:r>
            <w:proofErr w:type="spellEnd"/>
            <w:r w:rsidR="001B6083" w:rsidRPr="001B6083">
              <w:rPr>
                <w:rFonts w:ascii="Arial" w:hAnsi="Arial" w:cs="Arial"/>
                <w:sz w:val="20"/>
                <w:szCs w:val="20"/>
              </w:rPr>
              <w:t xml:space="preserve"> CT produced 12.5mm mixtures required for this study on 10/11/14. UMass Dartmouth was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on-site during production to sample each mixture and document production parameters (RAP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moisture content, etc.).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 xml:space="preserve">UMass </w:t>
            </w:r>
            <w:r w:rsidR="001B6083">
              <w:rPr>
                <w:rFonts w:ascii="Arial" w:hAnsi="Arial" w:cs="Arial"/>
                <w:sz w:val="20"/>
                <w:szCs w:val="20"/>
              </w:rPr>
              <w:t>D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artmouth began verifying the volumetric properties of each produced mixture. The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mixtures verified did not meet the volumetric properties. The contractor assured UMass Dartmouth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that these mixtures will be reproduced again during spring 2015.</w:t>
            </w:r>
          </w:p>
          <w:p w:rsidR="001B6083" w:rsidRDefault="001B6083" w:rsidP="001B6083">
            <w:pPr>
              <w:rPr>
                <w:rFonts w:ascii="Arial" w:hAnsi="Arial" w:cs="Arial"/>
                <w:sz w:val="20"/>
                <w:szCs w:val="20"/>
              </w:rPr>
            </w:pPr>
          </w:p>
          <w:p w:rsidR="00A85E8C" w:rsidRDefault="00A85E8C" w:rsidP="00A85E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13-1, </w:t>
            </w:r>
            <w:r w:rsidRPr="006C42B9">
              <w:rPr>
                <w:rFonts w:ascii="Arial" w:hAnsi="Arial" w:cs="Arial"/>
                <w:sz w:val="20"/>
                <w:szCs w:val="20"/>
              </w:rPr>
              <w:t xml:space="preserve">The following activities were </w:t>
            </w:r>
            <w:r>
              <w:rPr>
                <w:rFonts w:ascii="Arial" w:hAnsi="Arial" w:cs="Arial"/>
                <w:sz w:val="20"/>
                <w:szCs w:val="20"/>
              </w:rPr>
              <w:t>performed</w:t>
            </w:r>
            <w:r w:rsidRPr="006C42B9">
              <w:rPr>
                <w:rFonts w:ascii="Arial" w:hAnsi="Arial" w:cs="Arial"/>
                <w:sz w:val="20"/>
                <w:szCs w:val="20"/>
              </w:rPr>
              <w:t xml:space="preserve"> during this reporting period:</w:t>
            </w:r>
          </w:p>
          <w:p w:rsidR="006A60E0" w:rsidRPr="006A60E0" w:rsidRDefault="006A60E0" w:rsidP="006A60E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A60E0">
              <w:rPr>
                <w:rFonts w:ascii="Arial" w:hAnsi="Arial" w:cs="Arial"/>
                <w:sz w:val="20"/>
                <w:szCs w:val="20"/>
              </w:rPr>
              <w:t>Executed a kickoff meeting with members of the NETC Project Technical Committee.</w:t>
            </w:r>
          </w:p>
          <w:p w:rsidR="006A60E0" w:rsidRPr="006A60E0" w:rsidRDefault="006A60E0" w:rsidP="006A60E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A60E0">
              <w:rPr>
                <w:rFonts w:ascii="Arial" w:hAnsi="Arial" w:cs="Arial"/>
                <w:sz w:val="20"/>
                <w:szCs w:val="20"/>
              </w:rPr>
              <w:t>Compiled and analyzed responses to the survey that was sent to New England State DOTs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0E0">
              <w:rPr>
                <w:rFonts w:ascii="Arial" w:hAnsi="Arial" w:cs="Arial"/>
                <w:sz w:val="20"/>
                <w:szCs w:val="20"/>
              </w:rPr>
              <w:t>precast/</w:t>
            </w:r>
            <w:proofErr w:type="spellStart"/>
            <w:r w:rsidRPr="006A60E0">
              <w:rPr>
                <w:rFonts w:ascii="Arial" w:hAnsi="Arial" w:cs="Arial"/>
                <w:sz w:val="20"/>
                <w:szCs w:val="20"/>
              </w:rPr>
              <w:t>prestressed</w:t>
            </w:r>
            <w:proofErr w:type="spellEnd"/>
            <w:r w:rsidRPr="006A60E0">
              <w:rPr>
                <w:rFonts w:ascii="Arial" w:hAnsi="Arial" w:cs="Arial"/>
                <w:sz w:val="20"/>
                <w:szCs w:val="20"/>
              </w:rPr>
              <w:t xml:space="preserve"> producer members of the PCI Northeast Bridge Technical </w:t>
            </w:r>
            <w:proofErr w:type="spellStart"/>
            <w:r w:rsidRPr="006A60E0">
              <w:rPr>
                <w:rFonts w:ascii="Arial" w:hAnsi="Arial" w:cs="Arial"/>
                <w:sz w:val="20"/>
                <w:szCs w:val="20"/>
              </w:rPr>
              <w:t>Committee</w:t>
            </w:r>
            <w:proofErr w:type="gramStart"/>
            <w:r w:rsidRPr="006A60E0">
              <w:rPr>
                <w:rFonts w:ascii="Arial" w:hAnsi="Arial" w:cs="Arial"/>
                <w:sz w:val="20"/>
                <w:szCs w:val="20"/>
              </w:rPr>
              <w:t>,including</w:t>
            </w:r>
            <w:proofErr w:type="spellEnd"/>
            <w:proofErr w:type="gramEnd"/>
            <w:r w:rsidRPr="006A60E0">
              <w:rPr>
                <w:rFonts w:ascii="Arial" w:hAnsi="Arial" w:cs="Arial"/>
                <w:sz w:val="20"/>
                <w:szCs w:val="20"/>
              </w:rPr>
              <w:t xml:space="preserve"> previously used high-early strength concrete mix designs and specifications.</w:t>
            </w:r>
          </w:p>
          <w:p w:rsidR="006A60E0" w:rsidRDefault="006A60E0" w:rsidP="006A60E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A60E0">
              <w:rPr>
                <w:rFonts w:ascii="Arial" w:hAnsi="Arial" w:cs="Arial"/>
                <w:sz w:val="20"/>
                <w:szCs w:val="20"/>
              </w:rPr>
              <w:t>Began to prepare concrete mix design specifications based on the literature review and feedback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0E0">
              <w:rPr>
                <w:rFonts w:ascii="Arial" w:hAnsi="Arial" w:cs="Arial"/>
                <w:sz w:val="20"/>
                <w:szCs w:val="20"/>
              </w:rPr>
              <w:t>from surveys.</w:t>
            </w:r>
          </w:p>
          <w:p w:rsidR="006A60E0" w:rsidRPr="006A60E0" w:rsidRDefault="006A60E0" w:rsidP="006A60E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A85E8C" w:rsidRPr="00A85E8C" w:rsidRDefault="00A85E8C" w:rsidP="006A6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NETC 13-2,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UMass Dartmouth contacted several producers of asphalt mixtures in New England about their</w:t>
            </w:r>
            <w:r w:rsidR="006A6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availability and willingness to participate in the study. One contractor located in Massachusetts</w:t>
            </w:r>
            <w:r w:rsidR="006A6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agreed to produce the necessary mixtures to fulfill the objectives of the study.</w:t>
            </w:r>
          </w:p>
          <w:p w:rsidR="00186DA2" w:rsidRPr="00055579" w:rsidRDefault="00186DA2" w:rsidP="00186D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367C3" w:rsidRDefault="007367C3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42B9" w:rsidRPr="001B6083" w:rsidRDefault="00253532" w:rsidP="001B60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06-4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Continue to obtain information on new or planned pavement preservation projects in New England.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Investigate and order need laboratory equipment.</w:t>
            </w:r>
          </w:p>
          <w:p w:rsidR="00253532" w:rsidRDefault="00253532" w:rsidP="00253532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32" w:rsidRDefault="00253532" w:rsidP="001B6083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07-1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The research team will be analyzing the temperature data to determine the appropriate timing for FWD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tests at all sites. The research team will be collecting pavement distress and cross-section information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for all of the sites for pavement analysis. The research team will also be investigating the available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 xml:space="preserve">moisture data from the Warren Flats site,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lastRenderedPageBreak/>
              <w:t>the possibility of PSPA testing in the summer, and cores to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verify the pavement thicknesses at the ME sites.</w:t>
            </w:r>
            <w:r w:rsidR="00144985" w:rsidRPr="00144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2B9" w:rsidRPr="006C42B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4657A" w:rsidRPr="00253532" w:rsidRDefault="00B4657A" w:rsidP="00253532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32" w:rsidRDefault="00253532" w:rsidP="001B6083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09-2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Continue to interview the DOT managers (Massachusetts and Vermont). Analyze the results of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the interview and write up the summary for the Report. Write a chapter about the establishment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of the demonstration plots along Rt. 6. Make preparation for the next growing season to establish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additional experimental plots.</w:t>
            </w:r>
            <w:r w:rsidR="00A85E8C" w:rsidRPr="00A85E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2B9" w:rsidRPr="006C42B9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B4657A" w:rsidRDefault="00B4657A" w:rsidP="00253532">
            <w:pPr>
              <w:rPr>
                <w:rFonts w:ascii="Arial" w:hAnsi="Arial" w:cs="Arial"/>
                <w:sz w:val="20"/>
                <w:szCs w:val="20"/>
              </w:rPr>
            </w:pPr>
          </w:p>
          <w:p w:rsidR="00253532" w:rsidRDefault="00253532" w:rsidP="001B6083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09-3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Final Submission of reports for task 1, 2 and 3.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Vendor evaluation checklist to be submitted.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Complete durability testing of witness plates and submit report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spellStart"/>
            <w:r w:rsidR="001B6083" w:rsidRPr="001B6083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="001B6083" w:rsidRPr="001B6083">
              <w:rPr>
                <w:rFonts w:ascii="Arial" w:hAnsi="Arial" w:cs="Arial"/>
                <w:sz w:val="20"/>
                <w:szCs w:val="20"/>
              </w:rPr>
              <w:t xml:space="preserve"> on bridge installations</w:t>
            </w:r>
          </w:p>
          <w:p w:rsidR="00B4657A" w:rsidRPr="00253532" w:rsidRDefault="00B4657A" w:rsidP="002535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D375B" w:rsidRDefault="00253532" w:rsidP="006A60E0">
            <w:pPr>
              <w:rPr>
                <w:rFonts w:ascii="Arial" w:hAnsi="Arial" w:cs="Arial"/>
                <w:sz w:val="20"/>
                <w:szCs w:val="20"/>
              </w:rPr>
            </w:pPr>
            <w:r w:rsidRPr="00253532">
              <w:rPr>
                <w:rFonts w:ascii="Arial" w:hAnsi="Arial" w:cs="Arial"/>
                <w:sz w:val="20"/>
                <w:szCs w:val="20"/>
              </w:rPr>
              <w:t>10-3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UMass Dartmouth will seek additional contractors that can produce the required mixtures as a backup</w:t>
            </w:r>
            <w:r w:rsidR="006A6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for the current two contractors.</w:t>
            </w:r>
          </w:p>
          <w:p w:rsidR="00A85E8C" w:rsidRDefault="00A85E8C" w:rsidP="00ED3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A85E8C" w:rsidRDefault="00A85E8C" w:rsidP="006A6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13-1,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Prepare a written summary of the literature review including main findings of relevant research</w:t>
            </w:r>
            <w:r w:rsidR="006A6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reports, technical papers and survey responses.</w:t>
            </w:r>
            <w:r w:rsidR="006A60E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Begin testing preliminary concrete mix designs and comparing the test results with the four</w:t>
            </w:r>
            <w:r w:rsidR="006A6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initial short-term performance criteria (set time, air content, slump and compressive strength).</w:t>
            </w:r>
            <w:r w:rsidR="006A60E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Adjust existing concrete mix design specifications based on preliminary test results and feedback</w:t>
            </w:r>
            <w:r w:rsidR="006A6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from the NETC Project Technical Committee.</w:t>
            </w:r>
          </w:p>
          <w:p w:rsidR="00A85E8C" w:rsidRDefault="00A85E8C" w:rsidP="00A85E8C">
            <w:pPr>
              <w:rPr>
                <w:rFonts w:ascii="Arial" w:hAnsi="Arial" w:cs="Arial"/>
                <w:sz w:val="20"/>
                <w:szCs w:val="20"/>
              </w:rPr>
            </w:pPr>
          </w:p>
          <w:p w:rsidR="00A85E8C" w:rsidRDefault="00A85E8C" w:rsidP="006A6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13-2,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Complete Literature Review. The contractor (</w:t>
            </w:r>
            <w:proofErr w:type="spellStart"/>
            <w:r w:rsidR="006A60E0" w:rsidRPr="006A60E0">
              <w:rPr>
                <w:rFonts w:ascii="Arial" w:hAnsi="Arial" w:cs="Arial"/>
                <w:sz w:val="20"/>
                <w:szCs w:val="20"/>
              </w:rPr>
              <w:t>PJ.Kneating</w:t>
            </w:r>
            <w:proofErr w:type="spellEnd"/>
            <w:r w:rsidR="006A60E0" w:rsidRPr="006A60E0">
              <w:rPr>
                <w:rFonts w:ascii="Arial" w:hAnsi="Arial" w:cs="Arial"/>
                <w:sz w:val="20"/>
                <w:szCs w:val="20"/>
              </w:rPr>
              <w:t>) will deliver the virgin materials (asphalt</w:t>
            </w:r>
            <w:r w:rsidR="006A6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binder, aggregates, and shingles) that will be used in producing the mixture to UMass. UMass will start</w:t>
            </w:r>
            <w:r w:rsidR="006A6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performing mix designs.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EE7462" w:rsidRDefault="00EE7462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545C06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  <w:r w:rsidR="007367C3">
              <w:rPr>
                <w:rFonts w:ascii="Arial" w:hAnsi="Arial" w:cs="Arial"/>
                <w:sz w:val="20"/>
                <w:szCs w:val="20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</w:rPr>
              <w:t>of this reporting period</w:t>
            </w:r>
            <w:r w:rsidR="004D19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6083" w:rsidRPr="001B6083" w:rsidRDefault="00144985" w:rsidP="001B6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NETC 06-4,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UMass Dartmouth requested a no-cost time extension (September 2014) in order to include more new</w:t>
            </w:r>
          </w:p>
          <w:p w:rsidR="00144985" w:rsidRDefault="001B6083" w:rsidP="001B608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6083">
              <w:rPr>
                <w:rFonts w:ascii="Arial" w:hAnsi="Arial" w:cs="Arial"/>
                <w:sz w:val="20"/>
                <w:szCs w:val="20"/>
              </w:rPr>
              <w:t>pavement</w:t>
            </w:r>
            <w:proofErr w:type="gramEnd"/>
            <w:r w:rsidRPr="001B6083">
              <w:rPr>
                <w:rFonts w:ascii="Arial" w:hAnsi="Arial" w:cs="Arial"/>
                <w:sz w:val="20"/>
                <w:szCs w:val="20"/>
              </w:rPr>
              <w:t xml:space="preserve"> preservation projects ongoing in the New England states to this study, investigate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purchase the needed testing devices, and to allow more time for field evaluation of the preservation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projects included in the study. The requested time extension was for one year with a new end date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9/15/2016. UMass Dartmouth has not yet received a response regarding if this extension has been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approved.</w:t>
            </w:r>
          </w:p>
          <w:p w:rsidR="00144985" w:rsidRDefault="00144985" w:rsidP="00EE7462">
            <w:pPr>
              <w:rPr>
                <w:rFonts w:ascii="Arial" w:hAnsi="Arial" w:cs="Arial"/>
                <w:sz w:val="20"/>
                <w:szCs w:val="20"/>
              </w:rPr>
            </w:pPr>
          </w:p>
          <w:p w:rsidR="00144985" w:rsidRDefault="00144985" w:rsidP="001B60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NETC 07-1,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The data logger at the Waterford site is experiencing intermittent issues with data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collection/transmission. The research team and ME DOT are working with Beaded Stream to diagnose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the issue. The thermistor string at the Warren Flats site is currently reporting inaccurate data. The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research team is investigating this issue and developing a backup plan if the thermistor string is not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functioning.</w:t>
            </w:r>
          </w:p>
          <w:p w:rsidR="00144985" w:rsidRDefault="00144985" w:rsidP="00EE7462">
            <w:pPr>
              <w:rPr>
                <w:rFonts w:ascii="Arial" w:hAnsi="Arial" w:cs="Arial"/>
                <w:sz w:val="20"/>
                <w:szCs w:val="20"/>
              </w:rPr>
            </w:pPr>
          </w:p>
          <w:p w:rsidR="001B6083" w:rsidRDefault="00144985" w:rsidP="00144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09-2</w:t>
            </w:r>
            <w:r w:rsidR="001B608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6083" w:rsidRPr="001B6083">
              <w:rPr>
                <w:rFonts w:ascii="Arial" w:hAnsi="Arial" w:cs="Arial"/>
                <w:sz w:val="20"/>
                <w:szCs w:val="20"/>
              </w:rPr>
              <w:t>No problems were encountered during this reporting period.</w:t>
            </w:r>
          </w:p>
          <w:p w:rsidR="001B6083" w:rsidRDefault="001B6083" w:rsidP="00144985">
            <w:pPr>
              <w:rPr>
                <w:rFonts w:ascii="Arial" w:hAnsi="Arial" w:cs="Arial"/>
                <w:sz w:val="20"/>
                <w:szCs w:val="20"/>
              </w:rPr>
            </w:pPr>
          </w:p>
          <w:p w:rsidR="00144985" w:rsidRDefault="001B6083" w:rsidP="00144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</w:t>
            </w:r>
            <w:r w:rsidR="00144985">
              <w:rPr>
                <w:rFonts w:ascii="Arial" w:hAnsi="Arial" w:cs="Arial"/>
                <w:sz w:val="20"/>
                <w:szCs w:val="20"/>
              </w:rPr>
              <w:t xml:space="preserve"> 09-3</w:t>
            </w:r>
            <w:r w:rsidR="006A60E0">
              <w:rPr>
                <w:rFonts w:ascii="Arial" w:hAnsi="Arial" w:cs="Arial"/>
                <w:sz w:val="20"/>
                <w:szCs w:val="20"/>
              </w:rPr>
              <w:t>,</w:t>
            </w:r>
            <w:r w:rsidR="00144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083">
              <w:rPr>
                <w:rFonts w:ascii="Arial" w:hAnsi="Arial" w:cs="Arial"/>
                <w:sz w:val="20"/>
                <w:szCs w:val="20"/>
              </w:rPr>
              <w:t>ACO baseline tensile strength values appear to be below specified values.</w:t>
            </w:r>
          </w:p>
          <w:p w:rsidR="00144985" w:rsidRDefault="00144985" w:rsidP="00EE746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60E0" w:rsidRPr="006A60E0" w:rsidRDefault="00144985" w:rsidP="006A6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NETC 10-3,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1. In September 2014, UMass Dartmouth formally requested a no additional cost time extension for</w:t>
            </w:r>
            <w:r w:rsidR="006A6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this project of twelve month (new end date 9/15/2016). The basis of the request is that the</w:t>
            </w:r>
            <w:r w:rsidR="006A6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contractors have not produced or provided the mixtures required for this study. UMass Dartmouth is</w:t>
            </w:r>
            <w:r w:rsidR="006A6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0E0" w:rsidRPr="006A60E0">
              <w:rPr>
                <w:rFonts w:ascii="Arial" w:hAnsi="Arial" w:cs="Arial"/>
                <w:sz w:val="20"/>
                <w:szCs w:val="20"/>
              </w:rPr>
              <w:t>waiting for a response on this time extension request.</w:t>
            </w:r>
          </w:p>
          <w:p w:rsidR="00144985" w:rsidRDefault="006A60E0" w:rsidP="006A60E0">
            <w:pPr>
              <w:rPr>
                <w:rFonts w:ascii="Arial" w:hAnsi="Arial" w:cs="Arial"/>
                <w:sz w:val="20"/>
                <w:szCs w:val="20"/>
              </w:rPr>
            </w:pPr>
            <w:r w:rsidRPr="006A60E0">
              <w:rPr>
                <w:rFonts w:ascii="Arial" w:hAnsi="Arial" w:cs="Arial"/>
                <w:sz w:val="20"/>
                <w:szCs w:val="20"/>
              </w:rPr>
              <w:t>2. One contractor produced the necessary mixtures to conduct the study, however, these mixtures did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0E0">
              <w:rPr>
                <w:rFonts w:ascii="Arial" w:hAnsi="Arial" w:cs="Arial"/>
                <w:sz w:val="20"/>
                <w:szCs w:val="20"/>
              </w:rPr>
              <w:t>not meet the volumetric requirements and accordingly no further testing will be performed on these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60E0">
              <w:rPr>
                <w:rFonts w:ascii="Arial" w:hAnsi="Arial" w:cs="Arial"/>
                <w:sz w:val="20"/>
                <w:szCs w:val="20"/>
              </w:rPr>
              <w:t>mixtures. The contactor will reproduce these mixtures again during spring 2015.</w:t>
            </w:r>
          </w:p>
          <w:p w:rsidR="00A85E8C" w:rsidRDefault="00A85E8C" w:rsidP="00EE7462">
            <w:pPr>
              <w:rPr>
                <w:rFonts w:ascii="Arial" w:hAnsi="Arial" w:cs="Arial"/>
                <w:sz w:val="20"/>
                <w:szCs w:val="20"/>
              </w:rPr>
            </w:pPr>
          </w:p>
          <w:p w:rsidR="00A85E8C" w:rsidRDefault="00A85E8C" w:rsidP="00EE74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NETC 13-1 and 13-2, none at this time.</w:t>
            </w:r>
          </w:p>
          <w:p w:rsidR="00144985" w:rsidRDefault="00144985" w:rsidP="00EE7462">
            <w:pPr>
              <w:rPr>
                <w:rFonts w:ascii="Arial" w:hAnsi="Arial" w:cs="Arial"/>
                <w:sz w:val="20"/>
                <w:szCs w:val="20"/>
              </w:rPr>
            </w:pPr>
          </w:p>
          <w:p w:rsidR="00144985" w:rsidRPr="00EE7462" w:rsidRDefault="00144985" w:rsidP="00EE74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E0F" w:rsidTr="00E35E0F">
        <w:tc>
          <w:tcPr>
            <w:tcW w:w="10908" w:type="dxa"/>
          </w:tcPr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35E0F" w:rsidRDefault="00B4657A" w:rsidP="00144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1E4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4985">
              <w:rPr>
                <w:rFonts w:ascii="Arial" w:hAnsi="Arial" w:cs="Arial"/>
                <w:sz w:val="20"/>
                <w:szCs w:val="20"/>
              </w:rPr>
              <w:t>7</w:t>
            </w:r>
            <w:r w:rsidR="00055579">
              <w:rPr>
                <w:rFonts w:ascii="Arial" w:hAnsi="Arial" w:cs="Arial"/>
                <w:sz w:val="20"/>
                <w:szCs w:val="20"/>
              </w:rPr>
              <w:t xml:space="preserve"> research 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listed above are </w:t>
            </w:r>
            <w:r w:rsidR="00144985">
              <w:rPr>
                <w:rFonts w:ascii="Arial" w:hAnsi="Arial" w:cs="Arial"/>
                <w:sz w:val="20"/>
                <w:szCs w:val="20"/>
              </w:rPr>
              <w:t>still in progress</w:t>
            </w:r>
            <w:r w:rsidR="00055579">
              <w:rPr>
                <w:rFonts w:ascii="Arial" w:hAnsi="Arial" w:cs="Arial"/>
                <w:sz w:val="20"/>
                <w:szCs w:val="20"/>
              </w:rPr>
              <w:t>.</w:t>
            </w:r>
            <w:r w:rsidR="001E426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Implementations of the results of those projects are</w:t>
            </w:r>
            <w:r w:rsidR="001E426C">
              <w:rPr>
                <w:rFonts w:ascii="Arial" w:hAnsi="Arial" w:cs="Arial"/>
                <w:sz w:val="20"/>
                <w:szCs w:val="20"/>
              </w:rPr>
              <w:t xml:space="preserve"> not anticipated in the near future.</w:t>
            </w:r>
          </w:p>
        </w:tc>
      </w:tr>
    </w:tbl>
    <w:p w:rsidR="00E35E0F" w:rsidRPr="00743C01" w:rsidRDefault="00E35E0F" w:rsidP="00EE7462">
      <w:pPr>
        <w:spacing w:after="0"/>
        <w:ind w:right="-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50" w:rsidRDefault="00A46A50" w:rsidP="00106C83">
      <w:pPr>
        <w:spacing w:after="0" w:line="240" w:lineRule="auto"/>
      </w:pPr>
      <w:r>
        <w:separator/>
      </w:r>
    </w:p>
  </w:endnote>
  <w:endnote w:type="continuationSeparator" w:id="0">
    <w:p w:rsidR="00A46A50" w:rsidRDefault="00A46A5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50" w:rsidRDefault="00A46A50" w:rsidP="00E371D1">
    <w:pPr>
      <w:pStyle w:val="Footer"/>
      <w:ind w:left="-810"/>
    </w:pPr>
    <w:r>
      <w:t>TPF Program Standard Quarterly Reporting Format – 9/2011 (revised)</w:t>
    </w:r>
  </w:p>
  <w:p w:rsidR="00A46A50" w:rsidRDefault="00A46A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50" w:rsidRDefault="00A46A50" w:rsidP="00106C83">
      <w:pPr>
        <w:spacing w:after="0" w:line="240" w:lineRule="auto"/>
      </w:pPr>
      <w:r>
        <w:separator/>
      </w:r>
    </w:p>
  </w:footnote>
  <w:footnote w:type="continuationSeparator" w:id="0">
    <w:p w:rsidR="00A46A50" w:rsidRDefault="00A46A50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3EF"/>
    <w:multiLevelType w:val="hybridMultilevel"/>
    <w:tmpl w:val="55AC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955B0"/>
    <w:multiLevelType w:val="hybridMultilevel"/>
    <w:tmpl w:val="F8D4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D6157"/>
    <w:multiLevelType w:val="hybridMultilevel"/>
    <w:tmpl w:val="EE8E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BF6"/>
    <w:multiLevelType w:val="hybridMultilevel"/>
    <w:tmpl w:val="2F9A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5122A"/>
    <w:multiLevelType w:val="hybridMultilevel"/>
    <w:tmpl w:val="20BA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737E0"/>
    <w:multiLevelType w:val="hybridMultilevel"/>
    <w:tmpl w:val="908CA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F7EE0"/>
    <w:multiLevelType w:val="hybridMultilevel"/>
    <w:tmpl w:val="5A32B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E623C"/>
    <w:multiLevelType w:val="hybridMultilevel"/>
    <w:tmpl w:val="BC8CE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4788D"/>
    <w:multiLevelType w:val="hybridMultilevel"/>
    <w:tmpl w:val="29B4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73974"/>
    <w:multiLevelType w:val="hybridMultilevel"/>
    <w:tmpl w:val="BCCA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80798C"/>
    <w:multiLevelType w:val="hybridMultilevel"/>
    <w:tmpl w:val="8F90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E351C"/>
    <w:multiLevelType w:val="hybridMultilevel"/>
    <w:tmpl w:val="7C928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1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C12"/>
    <w:rsid w:val="00002CD9"/>
    <w:rsid w:val="00023C47"/>
    <w:rsid w:val="00037FBC"/>
    <w:rsid w:val="00055579"/>
    <w:rsid w:val="000736BB"/>
    <w:rsid w:val="00081617"/>
    <w:rsid w:val="000A4611"/>
    <w:rsid w:val="000B665A"/>
    <w:rsid w:val="000C0AD2"/>
    <w:rsid w:val="000C4A49"/>
    <w:rsid w:val="000C6388"/>
    <w:rsid w:val="000E66B7"/>
    <w:rsid w:val="00104D1F"/>
    <w:rsid w:val="00106C83"/>
    <w:rsid w:val="001300FD"/>
    <w:rsid w:val="001407E6"/>
    <w:rsid w:val="00144985"/>
    <w:rsid w:val="001547D0"/>
    <w:rsid w:val="00161153"/>
    <w:rsid w:val="001616A0"/>
    <w:rsid w:val="001822FD"/>
    <w:rsid w:val="00186DA2"/>
    <w:rsid w:val="001B6083"/>
    <w:rsid w:val="001C2F45"/>
    <w:rsid w:val="001D1A2D"/>
    <w:rsid w:val="001E426C"/>
    <w:rsid w:val="0021446D"/>
    <w:rsid w:val="00216E47"/>
    <w:rsid w:val="002511AF"/>
    <w:rsid w:val="00253532"/>
    <w:rsid w:val="00260258"/>
    <w:rsid w:val="00293FD8"/>
    <w:rsid w:val="002A6368"/>
    <w:rsid w:val="002A79C8"/>
    <w:rsid w:val="002B5B60"/>
    <w:rsid w:val="002C46E7"/>
    <w:rsid w:val="00311B09"/>
    <w:rsid w:val="0032353B"/>
    <w:rsid w:val="003269A2"/>
    <w:rsid w:val="00331EE3"/>
    <w:rsid w:val="003717A3"/>
    <w:rsid w:val="00374570"/>
    <w:rsid w:val="003831F2"/>
    <w:rsid w:val="00383656"/>
    <w:rsid w:val="0038705A"/>
    <w:rsid w:val="003C59AB"/>
    <w:rsid w:val="004144E6"/>
    <w:rsid w:val="004156B2"/>
    <w:rsid w:val="00421796"/>
    <w:rsid w:val="00435EFC"/>
    <w:rsid w:val="00437734"/>
    <w:rsid w:val="00480D88"/>
    <w:rsid w:val="004863A0"/>
    <w:rsid w:val="004D1943"/>
    <w:rsid w:val="004D33CC"/>
    <w:rsid w:val="004E14DC"/>
    <w:rsid w:val="004F5968"/>
    <w:rsid w:val="00516C3F"/>
    <w:rsid w:val="00535598"/>
    <w:rsid w:val="00544B89"/>
    <w:rsid w:val="00545C06"/>
    <w:rsid w:val="00547D69"/>
    <w:rsid w:val="00547EE3"/>
    <w:rsid w:val="00551D8A"/>
    <w:rsid w:val="00581B36"/>
    <w:rsid w:val="00583E8E"/>
    <w:rsid w:val="0059594F"/>
    <w:rsid w:val="005B21F1"/>
    <w:rsid w:val="005D2267"/>
    <w:rsid w:val="00601EBD"/>
    <w:rsid w:val="00603626"/>
    <w:rsid w:val="00675C01"/>
    <w:rsid w:val="006777B2"/>
    <w:rsid w:val="00682C5E"/>
    <w:rsid w:val="006A60E0"/>
    <w:rsid w:val="006B17D7"/>
    <w:rsid w:val="006B2633"/>
    <w:rsid w:val="006C42B9"/>
    <w:rsid w:val="0071228B"/>
    <w:rsid w:val="00713AA6"/>
    <w:rsid w:val="007367C3"/>
    <w:rsid w:val="00743C01"/>
    <w:rsid w:val="00743F70"/>
    <w:rsid w:val="00766820"/>
    <w:rsid w:val="00771BFC"/>
    <w:rsid w:val="00786BF4"/>
    <w:rsid w:val="00790C4A"/>
    <w:rsid w:val="007A56E9"/>
    <w:rsid w:val="007E29BF"/>
    <w:rsid w:val="007E5BD2"/>
    <w:rsid w:val="00860FD8"/>
    <w:rsid w:val="00872F18"/>
    <w:rsid w:val="00874EF7"/>
    <w:rsid w:val="008E2FC9"/>
    <w:rsid w:val="00905DAC"/>
    <w:rsid w:val="009251A6"/>
    <w:rsid w:val="00954CA6"/>
    <w:rsid w:val="00961B54"/>
    <w:rsid w:val="00963258"/>
    <w:rsid w:val="009B11AD"/>
    <w:rsid w:val="009B7E5D"/>
    <w:rsid w:val="009D2474"/>
    <w:rsid w:val="009D408F"/>
    <w:rsid w:val="009E15E5"/>
    <w:rsid w:val="00A43875"/>
    <w:rsid w:val="00A44751"/>
    <w:rsid w:val="00A46A50"/>
    <w:rsid w:val="00A63677"/>
    <w:rsid w:val="00A702FD"/>
    <w:rsid w:val="00A81335"/>
    <w:rsid w:val="00A85E8C"/>
    <w:rsid w:val="00AA31E6"/>
    <w:rsid w:val="00AB2A58"/>
    <w:rsid w:val="00AC64C3"/>
    <w:rsid w:val="00AE46B0"/>
    <w:rsid w:val="00B060E2"/>
    <w:rsid w:val="00B06A43"/>
    <w:rsid w:val="00B17758"/>
    <w:rsid w:val="00B2185C"/>
    <w:rsid w:val="00B358DC"/>
    <w:rsid w:val="00B4657A"/>
    <w:rsid w:val="00B66A21"/>
    <w:rsid w:val="00B73B47"/>
    <w:rsid w:val="00BA1F43"/>
    <w:rsid w:val="00BD7F1E"/>
    <w:rsid w:val="00BF259C"/>
    <w:rsid w:val="00BF5213"/>
    <w:rsid w:val="00BF5930"/>
    <w:rsid w:val="00C10D97"/>
    <w:rsid w:val="00C13753"/>
    <w:rsid w:val="00C14CD1"/>
    <w:rsid w:val="00C24A10"/>
    <w:rsid w:val="00C3113C"/>
    <w:rsid w:val="00C934C5"/>
    <w:rsid w:val="00CB1CC6"/>
    <w:rsid w:val="00CB7B56"/>
    <w:rsid w:val="00CC4BF5"/>
    <w:rsid w:val="00CF3FE9"/>
    <w:rsid w:val="00CF7480"/>
    <w:rsid w:val="00D30BA2"/>
    <w:rsid w:val="00D42A15"/>
    <w:rsid w:val="00D9235A"/>
    <w:rsid w:val="00DE17E8"/>
    <w:rsid w:val="00E35E0F"/>
    <w:rsid w:val="00E371D1"/>
    <w:rsid w:val="00E3731D"/>
    <w:rsid w:val="00E50A02"/>
    <w:rsid w:val="00E53738"/>
    <w:rsid w:val="00E83E69"/>
    <w:rsid w:val="00E847A9"/>
    <w:rsid w:val="00ED0024"/>
    <w:rsid w:val="00ED375B"/>
    <w:rsid w:val="00ED5F67"/>
    <w:rsid w:val="00EE3619"/>
    <w:rsid w:val="00EE7462"/>
    <w:rsid w:val="00EF08AE"/>
    <w:rsid w:val="00EF5790"/>
    <w:rsid w:val="00F53BCC"/>
    <w:rsid w:val="00F54200"/>
    <w:rsid w:val="00FB50E2"/>
    <w:rsid w:val="00FD17EB"/>
    <w:rsid w:val="00FE5146"/>
    <w:rsid w:val="00FE5D4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A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ll.Ahearn@state.vt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8B62-D84A-43EA-B879-F706D282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Hanaway-Corrente, Amanda</cp:lastModifiedBy>
  <cp:revision>13</cp:revision>
  <cp:lastPrinted>2011-06-21T20:32:00Z</cp:lastPrinted>
  <dcterms:created xsi:type="dcterms:W3CDTF">2012-07-05T14:16:00Z</dcterms:created>
  <dcterms:modified xsi:type="dcterms:W3CDTF">2015-01-22T22:15:00Z</dcterms:modified>
</cp:coreProperties>
</file>