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A4B10" w:rsidRDefault="009A4B10" w:rsidP="00037FBC">
            <w:pPr>
              <w:ind w:right="-720"/>
              <w:rPr>
                <w:rFonts w:ascii="Arial" w:hAnsi="Arial" w:cs="Arial"/>
                <w:sz w:val="20"/>
                <w:szCs w:val="20"/>
              </w:rPr>
            </w:pPr>
          </w:p>
          <w:p w:rsidR="009A4B10" w:rsidRDefault="003D69D8" w:rsidP="0070592F">
            <w:pPr>
              <w:spacing w:before="120"/>
              <w:ind w:right="-720"/>
              <w:rPr>
                <w:rFonts w:ascii="Arial" w:hAnsi="Arial" w:cs="Arial"/>
                <w:sz w:val="20"/>
                <w:szCs w:val="20"/>
              </w:rPr>
            </w:pPr>
            <w:r>
              <w:rPr>
                <w:rFonts w:ascii="Agency FB" w:hAnsi="Agency FB" w:cs="Arial"/>
                <w:b/>
                <w:sz w:val="20"/>
                <w:szCs w:val="20"/>
              </w:rPr>
              <w:t xml:space="preserve"> </w:t>
            </w:r>
            <w:r w:rsidR="008F3821">
              <w:rPr>
                <w:rFonts w:ascii="Arial" w:hAnsi="Arial" w:cs="Arial"/>
                <w:sz w:val="20"/>
                <w:szCs w:val="20"/>
              </w:rPr>
              <w:t xml:space="preserve"> </w:t>
            </w:r>
            <w:r w:rsidR="00A33242">
              <w:rPr>
                <w:rFonts w:ascii="Arial" w:hAnsi="Arial" w:cs="Arial"/>
                <w:sz w:val="20"/>
                <w:szCs w:val="20"/>
              </w:rPr>
              <w:t xml:space="preserve"> </w:t>
            </w:r>
            <w:r w:rsidR="00551D8A">
              <w:rPr>
                <w:rFonts w:ascii="Arial" w:hAnsi="Arial" w:cs="Arial"/>
                <w:sz w:val="20"/>
                <w:szCs w:val="20"/>
              </w:rPr>
              <w:t>Quarter 1 (January 1 – March 31)</w:t>
            </w:r>
          </w:p>
          <w:p w:rsidR="009A4B10" w:rsidRDefault="008E7D21" w:rsidP="0070592F">
            <w:pPr>
              <w:spacing w:before="120"/>
              <w:ind w:right="-720"/>
              <w:rPr>
                <w:rFonts w:ascii="Arial" w:hAnsi="Arial" w:cs="Arial"/>
                <w:sz w:val="20"/>
                <w:szCs w:val="20"/>
              </w:rPr>
            </w:pPr>
            <w:r>
              <w:rPr>
                <w:rFonts w:ascii="Arial" w:hAnsi="Arial" w:cs="Arial"/>
                <w:b/>
                <w:sz w:val="20"/>
                <w:szCs w:val="20"/>
              </w:rPr>
              <w:t xml:space="preserve"> </w:t>
            </w:r>
            <w:r w:rsidR="009A4B10" w:rsidRPr="00A33242">
              <w:rPr>
                <w:rFonts w:ascii="Arial" w:hAnsi="Arial" w:cs="Arial"/>
                <w:b/>
                <w:sz w:val="20"/>
                <w:szCs w:val="20"/>
              </w:rPr>
              <w:t xml:space="preserve"> </w:t>
            </w:r>
            <w:r w:rsidR="00E20ED3">
              <w:rPr>
                <w:rFonts w:ascii="Arial" w:hAnsi="Arial" w:cs="Arial"/>
                <w:b/>
                <w:sz w:val="20"/>
                <w:szCs w:val="20"/>
              </w:rPr>
              <w:t xml:space="preserve"> </w:t>
            </w:r>
            <w:r w:rsidR="00551D8A">
              <w:rPr>
                <w:rFonts w:ascii="Arial" w:hAnsi="Arial" w:cs="Arial"/>
                <w:sz w:val="20"/>
                <w:szCs w:val="20"/>
              </w:rPr>
              <w:t>Quarter 2 (April 1 – June 30)</w:t>
            </w:r>
            <w:r w:rsidR="003D69D8">
              <w:rPr>
                <w:rFonts w:ascii="Arial" w:hAnsi="Arial" w:cs="Arial"/>
                <w:sz w:val="20"/>
                <w:szCs w:val="20"/>
              </w:rPr>
              <w:t xml:space="preserve"> 2014</w:t>
            </w:r>
          </w:p>
          <w:p w:rsidR="009A4B10" w:rsidRDefault="009E1E27" w:rsidP="0070592F">
            <w:pPr>
              <w:spacing w:before="120"/>
              <w:ind w:right="-720"/>
              <w:rPr>
                <w:rFonts w:ascii="Arial" w:hAnsi="Arial" w:cs="Arial"/>
                <w:sz w:val="20"/>
                <w:szCs w:val="20"/>
              </w:rPr>
            </w:pPr>
            <w:r>
              <w:rPr>
                <w:rFonts w:ascii="Agency FB" w:hAnsi="Agency FB" w:cs="Arial"/>
                <w:b/>
                <w:sz w:val="20"/>
                <w:szCs w:val="20"/>
              </w:rPr>
              <w:t xml:space="preserve">  </w:t>
            </w:r>
            <w:r w:rsidR="00FB3705">
              <w:rPr>
                <w:rFonts w:ascii="Agency FB" w:hAnsi="Agency FB" w:cs="Arial"/>
                <w:b/>
                <w:sz w:val="20"/>
                <w:szCs w:val="20"/>
              </w:rPr>
              <w:t>√</w:t>
            </w:r>
            <w:r>
              <w:rPr>
                <w:rFonts w:ascii="Agency FB" w:hAnsi="Agency FB" w:cs="Arial"/>
                <w:b/>
                <w:sz w:val="20"/>
                <w:szCs w:val="20"/>
              </w:rPr>
              <w:t xml:space="preserve">  </w:t>
            </w:r>
            <w:r w:rsidR="00551D8A">
              <w:rPr>
                <w:rFonts w:ascii="Arial" w:hAnsi="Arial" w:cs="Arial"/>
                <w:sz w:val="20"/>
                <w:szCs w:val="20"/>
              </w:rPr>
              <w:t>Quarter 3 (July 1 – September 30)</w:t>
            </w:r>
          </w:p>
          <w:p w:rsidR="00551D8A" w:rsidRPr="00551D8A" w:rsidRDefault="00D838A4" w:rsidP="00623334">
            <w:pPr>
              <w:spacing w:before="120"/>
              <w:ind w:right="-720"/>
              <w:rPr>
                <w:rFonts w:ascii="Arial" w:hAnsi="Arial" w:cs="Arial"/>
                <w:sz w:val="20"/>
                <w:szCs w:val="20"/>
              </w:rPr>
            </w:pPr>
            <w:r>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Don Watson and Randy West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(334) 844-7306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A4B10" w:rsidP="0070592F">
            <w:pPr>
              <w:spacing w:before="120"/>
              <w:ind w:right="-720"/>
              <w:rPr>
                <w:rFonts w:ascii="Arial" w:hAnsi="Arial" w:cs="Arial"/>
                <w:sz w:val="20"/>
                <w:szCs w:val="20"/>
              </w:rPr>
            </w:pPr>
            <w:r>
              <w:rPr>
                <w:rFonts w:ascii="Arial" w:hAnsi="Arial" w:cs="Arial"/>
                <w:sz w:val="20"/>
                <w:szCs w:val="20"/>
              </w:rPr>
              <w:t>watsode@auburn.edu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0592F" w:rsidRPr="0070592F" w:rsidRDefault="00FB3705" w:rsidP="0070592F">
            <w:pPr>
              <w:spacing w:before="120"/>
              <w:ind w:right="-720"/>
              <w:rPr>
                <w:rFonts w:ascii="Arial" w:hAnsi="Arial" w:cs="Arial"/>
                <w:sz w:val="20"/>
                <w:szCs w:val="20"/>
              </w:rPr>
            </w:pPr>
            <w:r>
              <w:rPr>
                <w:rFonts w:ascii="Arial" w:hAnsi="Arial" w:cs="Arial"/>
                <w:sz w:val="20"/>
                <w:szCs w:val="20"/>
              </w:rPr>
              <w:t>September 30, 2017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FB3705" w:rsidP="0003476C">
            <w:pPr>
              <w:ind w:right="-720"/>
              <w:rPr>
                <w:rFonts w:ascii="Arial" w:hAnsi="Arial" w:cs="Arial"/>
                <w:sz w:val="20"/>
                <w:szCs w:val="20"/>
              </w:rPr>
            </w:pPr>
            <w:r>
              <w:rPr>
                <w:rFonts w:ascii="Arial" w:hAnsi="Arial" w:cs="Arial"/>
                <w:sz w:val="20"/>
                <w:szCs w:val="20"/>
              </w:rPr>
              <w:t>3</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8D1AB6">
        <w:rPr>
          <w:rFonts w:ascii="Arial" w:hAnsi="Arial" w:cs="Arial"/>
          <w:sz w:val="36"/>
          <w:szCs w:val="36"/>
        </w:rPr>
        <w:t xml:space="preserve">  </w:t>
      </w:r>
      <w:r w:rsidRPr="00B66A21">
        <w:rPr>
          <w:rFonts w:ascii="Arial" w:hAnsi="Arial" w:cs="Arial"/>
          <w:sz w:val="36"/>
          <w:szCs w:val="36"/>
        </w:rPr>
        <w:t xml:space="preserve"> </w:t>
      </w:r>
      <w:r w:rsidR="008D1AB6">
        <w:rPr>
          <w:rFonts w:ascii="Arial" w:hAnsi="Arial" w:cs="Arial"/>
          <w:sz w:val="36"/>
          <w:szCs w:val="36"/>
        </w:rPr>
        <w:t xml:space="preserve">   </w:t>
      </w:r>
      <w:r w:rsidR="00623334">
        <w:rPr>
          <w:rFonts w:ascii="Agency FB" w:hAnsi="Agency FB" w:cs="Arial"/>
          <w:sz w:val="36"/>
          <w:szCs w:val="36"/>
        </w:rPr>
        <w:t>√</w:t>
      </w:r>
      <w:r w:rsidR="008D1AB6">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B3705" w:rsidP="00A33242">
            <w:pPr>
              <w:spacing w:before="120"/>
              <w:ind w:right="-720"/>
              <w:jc w:val="center"/>
              <w:rPr>
                <w:rFonts w:ascii="Arial" w:hAnsi="Arial" w:cs="Arial"/>
                <w:sz w:val="20"/>
                <w:szCs w:val="20"/>
              </w:rPr>
            </w:pPr>
            <w:r>
              <w:rPr>
                <w:rFonts w:ascii="Arial" w:hAnsi="Arial" w:cs="Arial"/>
                <w:sz w:val="20"/>
                <w:szCs w:val="20"/>
              </w:rPr>
              <w:t>$1,123,353</w:t>
            </w:r>
            <w:r w:rsidR="00642352">
              <w:rPr>
                <w:rFonts w:ascii="Arial" w:hAnsi="Arial" w:cs="Arial"/>
                <w:sz w:val="20"/>
                <w:szCs w:val="20"/>
              </w:rPr>
              <w:t xml:space="preserve"> </w:t>
            </w:r>
          </w:p>
        </w:tc>
        <w:tc>
          <w:tcPr>
            <w:tcW w:w="3330" w:type="dxa"/>
          </w:tcPr>
          <w:p w:rsidR="00874EF7" w:rsidRPr="00B66A21" w:rsidRDefault="00655415" w:rsidP="006B6D68">
            <w:pPr>
              <w:spacing w:before="120"/>
              <w:ind w:right="-720"/>
              <w:jc w:val="center"/>
              <w:rPr>
                <w:rFonts w:ascii="Arial" w:hAnsi="Arial" w:cs="Arial"/>
                <w:sz w:val="20"/>
                <w:szCs w:val="20"/>
              </w:rPr>
            </w:pPr>
            <w:r>
              <w:rPr>
                <w:rFonts w:ascii="Arial" w:hAnsi="Arial" w:cs="Arial"/>
                <w:sz w:val="20"/>
                <w:szCs w:val="20"/>
              </w:rPr>
              <w:t>$606,610.88</w:t>
            </w:r>
          </w:p>
        </w:tc>
        <w:tc>
          <w:tcPr>
            <w:tcW w:w="3420" w:type="dxa"/>
          </w:tcPr>
          <w:p w:rsidR="00874EF7" w:rsidRDefault="00655415" w:rsidP="008D1AB6">
            <w:pPr>
              <w:spacing w:before="120"/>
              <w:ind w:right="-720"/>
              <w:jc w:val="center"/>
              <w:rPr>
                <w:rFonts w:ascii="Arial" w:hAnsi="Arial" w:cs="Arial"/>
                <w:sz w:val="20"/>
                <w:szCs w:val="20"/>
              </w:rPr>
            </w:pPr>
            <w:r>
              <w:rPr>
                <w:rFonts w:ascii="Arial" w:hAnsi="Arial" w:cs="Arial"/>
                <w:sz w:val="20"/>
                <w:szCs w:val="20"/>
              </w:rPr>
              <w:t>58</w:t>
            </w:r>
          </w:p>
          <w:p w:rsidR="008D1AB6" w:rsidRPr="00B66A21" w:rsidRDefault="008D1AB6" w:rsidP="008D1AB6">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w:t>
            </w:r>
            <w:r w:rsidR="003413CE">
              <w:rPr>
                <w:rFonts w:ascii="Arial" w:hAnsi="Arial" w:cs="Arial"/>
                <w:b/>
                <w:sz w:val="20"/>
                <w:szCs w:val="20"/>
              </w:rPr>
              <w:t xml:space="preserve"> as of</w:t>
            </w:r>
            <w:r w:rsidR="00547EE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8E7D21" w:rsidP="00655415">
            <w:pPr>
              <w:spacing w:before="120"/>
              <w:ind w:right="-720"/>
              <w:jc w:val="center"/>
              <w:rPr>
                <w:rFonts w:ascii="Arial" w:hAnsi="Arial" w:cs="Arial"/>
                <w:sz w:val="20"/>
                <w:szCs w:val="20"/>
              </w:rPr>
            </w:pPr>
            <w:r>
              <w:rPr>
                <w:rFonts w:ascii="Arial" w:hAnsi="Arial" w:cs="Arial"/>
                <w:sz w:val="20"/>
                <w:szCs w:val="20"/>
              </w:rPr>
              <w:t>$</w:t>
            </w:r>
            <w:r w:rsidR="00655415">
              <w:rPr>
                <w:rFonts w:ascii="Arial" w:hAnsi="Arial" w:cs="Arial"/>
                <w:sz w:val="20"/>
                <w:szCs w:val="20"/>
              </w:rPr>
              <w:t>606,610.88 (54</w:t>
            </w:r>
            <w:r w:rsidR="00014344">
              <w:rPr>
                <w:rFonts w:ascii="Arial" w:hAnsi="Arial" w:cs="Arial"/>
                <w:sz w:val="20"/>
                <w:szCs w:val="20"/>
              </w:rPr>
              <w:t>% of budget)</w:t>
            </w:r>
          </w:p>
        </w:tc>
        <w:tc>
          <w:tcPr>
            <w:tcW w:w="3330" w:type="dxa"/>
          </w:tcPr>
          <w:p w:rsidR="00B66A21" w:rsidRPr="00B66A21" w:rsidRDefault="00D838A4" w:rsidP="003D69D8">
            <w:pPr>
              <w:spacing w:before="120"/>
              <w:ind w:right="-720"/>
              <w:jc w:val="center"/>
              <w:rPr>
                <w:rFonts w:ascii="Arial" w:hAnsi="Arial" w:cs="Arial"/>
                <w:sz w:val="20"/>
                <w:szCs w:val="20"/>
              </w:rPr>
            </w:pPr>
            <w:r>
              <w:rPr>
                <w:rFonts w:ascii="Arial" w:hAnsi="Arial" w:cs="Arial"/>
                <w:sz w:val="20"/>
                <w:szCs w:val="20"/>
              </w:rPr>
              <w:t>$</w:t>
            </w:r>
            <w:r w:rsidR="00655415">
              <w:rPr>
                <w:rFonts w:ascii="Arial" w:hAnsi="Arial" w:cs="Arial"/>
                <w:sz w:val="20"/>
                <w:szCs w:val="20"/>
              </w:rPr>
              <w:t>59,200.88</w:t>
            </w:r>
          </w:p>
        </w:tc>
        <w:tc>
          <w:tcPr>
            <w:tcW w:w="3420" w:type="dxa"/>
          </w:tcPr>
          <w:p w:rsidR="00B66A21" w:rsidRDefault="002B45C9" w:rsidP="00014344">
            <w:pPr>
              <w:spacing w:before="120"/>
              <w:ind w:right="-720"/>
              <w:jc w:val="center"/>
              <w:rPr>
                <w:rFonts w:ascii="Arial" w:hAnsi="Arial" w:cs="Arial"/>
                <w:sz w:val="20"/>
                <w:szCs w:val="20"/>
              </w:rPr>
            </w:pPr>
            <w:r>
              <w:rPr>
                <w:rFonts w:ascii="Arial" w:hAnsi="Arial" w:cs="Arial"/>
                <w:sz w:val="20"/>
                <w:szCs w:val="20"/>
              </w:rPr>
              <w:t>60</w:t>
            </w:r>
          </w:p>
          <w:p w:rsidR="008D1AB6" w:rsidRPr="00B66A21" w:rsidRDefault="008D1AB6" w:rsidP="00014344">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A7FB0" w:rsidRDefault="008A7FB0" w:rsidP="008A7FB0">
            <w:r w:rsidRPr="00E608EB">
              <w:t xml:space="preserve">The Southeastern Superpave Center </w:t>
            </w:r>
            <w:r>
              <w:t>has been</w:t>
            </w:r>
            <w:r w:rsidRPr="00E608EB">
              <w:t xml:space="preserve"> supported by </w:t>
            </w:r>
            <w:r>
              <w:t>state</w:t>
            </w:r>
            <w:r w:rsidRPr="00E608EB">
              <w:t xml:space="preserve"> agencies through a pooled-fund project </w:t>
            </w:r>
            <w:r>
              <w:t xml:space="preserve">that has </w:t>
            </w:r>
            <w:r w:rsidRPr="00E608EB">
              <w:t xml:space="preserve">been largely used to provide training, verify ruggedness of equipment, check equipment calibrations, provide materials research, and aid in keeping agency personnel abreast of changes in asphalt technology. In order to continue the efforts in training, technology transfer, and </w:t>
            </w:r>
            <w:r>
              <w:t>implementable</w:t>
            </w:r>
            <w:r w:rsidRPr="00E608EB">
              <w:t xml:space="preserve"> research, it is essential that the pooled-fund effort be continued. </w:t>
            </w:r>
          </w:p>
          <w:p w:rsidR="008A7FB0" w:rsidRDefault="008A7FB0" w:rsidP="008A7FB0"/>
          <w:p w:rsidR="008A7FB0" w:rsidRPr="00046643" w:rsidRDefault="008A7FB0" w:rsidP="008A7FB0">
            <w:pPr>
              <w:rPr>
                <w:i/>
              </w:rPr>
            </w:pPr>
            <w:r w:rsidRPr="00046643">
              <w:rPr>
                <w:b/>
                <w:i/>
              </w:rPr>
              <w:t>NOTE:</w:t>
            </w:r>
            <w:r>
              <w:t xml:space="preserve"> </w:t>
            </w:r>
            <w:r w:rsidRPr="00046643">
              <w:rPr>
                <w:i/>
              </w:rPr>
              <w:t>This pooled-fund</w:t>
            </w:r>
            <w:r>
              <w:rPr>
                <w:i/>
              </w:rPr>
              <w:t xml:space="preserve"> project</w:t>
            </w:r>
            <w:r w:rsidRPr="00046643">
              <w:rPr>
                <w:i/>
              </w:rPr>
              <w:t xml:space="preserve"> is not limited to states located in the southeast. Agencies throughout the country are invited to participate and take advantage of the research and training opportunities provided by the Southeastern Superpave Center.</w:t>
            </w:r>
          </w:p>
          <w:p w:rsidR="008A7FB0" w:rsidRPr="00E608EB" w:rsidRDefault="008A7FB0" w:rsidP="008A7FB0"/>
          <w:p w:rsidR="008A7FB0" w:rsidRPr="00E608EB" w:rsidRDefault="008A7FB0" w:rsidP="008A7FB0">
            <w:pPr>
              <w:rPr>
                <w:b/>
              </w:rPr>
            </w:pPr>
            <w:r w:rsidRPr="00E608EB">
              <w:rPr>
                <w:b/>
              </w:rPr>
              <w:t>OBJECTIVES</w:t>
            </w:r>
          </w:p>
          <w:p w:rsidR="008A7FB0" w:rsidRPr="00E608EB" w:rsidRDefault="008A7FB0" w:rsidP="008A7FB0">
            <w:pPr>
              <w:rPr>
                <w:b/>
              </w:rPr>
            </w:pPr>
          </w:p>
          <w:p w:rsidR="008A7FB0" w:rsidRDefault="008A7FB0" w:rsidP="008A7FB0">
            <w: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rsidR="008A7FB0" w:rsidRDefault="008A7FB0" w:rsidP="008A7FB0">
            <w:pPr>
              <w:numPr>
                <w:ilvl w:val="0"/>
                <w:numId w:val="1"/>
              </w:numPr>
              <w:spacing w:before="120"/>
            </w:pPr>
            <w:r>
              <w:t>Conduct training in regard to Superpave binders, mix design, and performance testing. Provide training on special topics as requested by participating agencies at their on-site locations.</w:t>
            </w:r>
          </w:p>
          <w:p w:rsidR="008A7FB0" w:rsidRDefault="008A7FB0" w:rsidP="008A7FB0">
            <w:pPr>
              <w:numPr>
                <w:ilvl w:val="0"/>
                <w:numId w:val="1"/>
              </w:numPr>
              <w:spacing w:before="120"/>
            </w:pPr>
            <w:r>
              <w:t>Perform research, both cooperatively and agency-specific, sponsored by members of the pooled-fund.</w:t>
            </w:r>
          </w:p>
          <w:p w:rsidR="008A7FB0" w:rsidRDefault="008A7FB0" w:rsidP="008A7FB0">
            <w:pPr>
              <w:numPr>
                <w:ilvl w:val="0"/>
                <w:numId w:val="1"/>
              </w:numPr>
              <w:spacing w:before="120"/>
            </w:pPr>
            <w:r>
              <w:t>Perform precision and bias testing for asphalt-related performance test equipment.</w:t>
            </w:r>
          </w:p>
          <w:p w:rsidR="008A7FB0" w:rsidRDefault="008A7FB0" w:rsidP="008A7FB0">
            <w:pPr>
              <w:numPr>
                <w:ilvl w:val="0"/>
                <w:numId w:val="1"/>
              </w:numPr>
              <w:spacing w:before="120"/>
            </w:pPr>
            <w:r>
              <w:t>Conduct noise studies in an effort to develop quieter pavements.</w:t>
            </w:r>
          </w:p>
          <w:p w:rsidR="008A7FB0" w:rsidRDefault="008A7FB0" w:rsidP="008A7FB0">
            <w:pPr>
              <w:numPr>
                <w:ilvl w:val="0"/>
                <w:numId w:val="1"/>
              </w:numPr>
              <w:spacing w:before="120"/>
            </w:pPr>
            <w:r>
              <w:t>Perform forensic evaluations on materials or projects that have experienced premature distress.</w:t>
            </w:r>
          </w:p>
          <w:p w:rsidR="008A7FB0" w:rsidRDefault="008A7FB0" w:rsidP="008A7FB0">
            <w:pPr>
              <w:numPr>
                <w:ilvl w:val="0"/>
                <w:numId w:val="1"/>
              </w:numPr>
              <w:spacing w:before="120"/>
            </w:pPr>
            <w:r>
              <w:t xml:space="preserve">Prepare research articles of regional and national interest.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E1E27">
        <w:tc>
          <w:tcPr>
            <w:tcW w:w="10908" w:type="dxa"/>
            <w:tcBorders>
              <w:bottom w:val="single" w:sz="4" w:space="0" w:color="auto"/>
            </w:tcBorders>
          </w:tcPr>
          <w:p w:rsidR="00E35E0F" w:rsidRDefault="00E54459" w:rsidP="00551D8A">
            <w:pPr>
              <w:ind w:right="-720"/>
              <w:rPr>
                <w:rFonts w:ascii="Arial" w:hAnsi="Arial" w:cs="Arial"/>
                <w:b/>
                <w:sz w:val="20"/>
                <w:szCs w:val="20"/>
              </w:rPr>
            </w:pPr>
            <w:r>
              <w:br w:type="page"/>
            </w: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2B45C9" w:rsidRDefault="002B45C9" w:rsidP="00551D8A">
            <w:pPr>
              <w:ind w:right="-720"/>
              <w:rPr>
                <w:rFonts w:ascii="Arial" w:hAnsi="Arial" w:cs="Arial"/>
                <w:b/>
                <w:sz w:val="20"/>
                <w:szCs w:val="20"/>
              </w:rPr>
            </w:pPr>
          </w:p>
          <w:p w:rsidR="002B45C9" w:rsidRPr="00D26E02" w:rsidRDefault="00D26E02" w:rsidP="00551D8A">
            <w:pPr>
              <w:ind w:right="-720"/>
              <w:rPr>
                <w:rFonts w:cs="Arial"/>
                <w:b/>
              </w:rPr>
            </w:pPr>
            <w:r>
              <w:rPr>
                <w:rFonts w:cs="Arial"/>
                <w:b/>
              </w:rPr>
              <w:t>CONTRACT EXTENSION</w:t>
            </w:r>
          </w:p>
          <w:p w:rsidR="002B45C9" w:rsidRDefault="002B45C9" w:rsidP="00551D8A">
            <w:pPr>
              <w:ind w:right="-720"/>
              <w:rPr>
                <w:rFonts w:cs="Arial"/>
              </w:rPr>
            </w:pPr>
            <w:r w:rsidRPr="002B45C9">
              <w:rPr>
                <w:rFonts w:cs="Arial"/>
              </w:rPr>
              <w:t>ALDOT Research personnel worked with FHWA to obtain a three-year time extension for the pr</w:t>
            </w:r>
            <w:r>
              <w:rPr>
                <w:rFonts w:cs="Arial"/>
              </w:rPr>
              <w:t>oject. This extension was</w:t>
            </w:r>
          </w:p>
          <w:p w:rsidR="002B45C9" w:rsidRDefault="002B45C9" w:rsidP="00551D8A">
            <w:pPr>
              <w:ind w:right="-720"/>
              <w:rPr>
                <w:rFonts w:cs="Arial"/>
              </w:rPr>
            </w:pPr>
            <w:r>
              <w:rPr>
                <w:rFonts w:cs="Arial"/>
              </w:rPr>
              <w:t xml:space="preserve">vital </w:t>
            </w:r>
            <w:r w:rsidRPr="002B45C9">
              <w:rPr>
                <w:rFonts w:cs="Arial"/>
              </w:rPr>
              <w:t>because there are several on-going activities that would not be finished by the end of FY'14</w:t>
            </w:r>
            <w:r>
              <w:rPr>
                <w:rFonts w:cs="Arial"/>
              </w:rPr>
              <w:t xml:space="preserve"> (Sept 30, 2014). </w:t>
            </w:r>
          </w:p>
          <w:p w:rsidR="002B45C9" w:rsidRDefault="002B45C9" w:rsidP="00551D8A">
            <w:pPr>
              <w:ind w:right="-720"/>
              <w:rPr>
                <w:rFonts w:cs="Arial"/>
              </w:rPr>
            </w:pPr>
            <w:r>
              <w:rPr>
                <w:rFonts w:cs="Arial"/>
              </w:rPr>
              <w:t xml:space="preserve">The extension also gives agencies the ability to plan for research needs over a longer period of time instead of limiting </w:t>
            </w:r>
          </w:p>
          <w:p w:rsidR="002B45C9" w:rsidRPr="002B45C9" w:rsidRDefault="002B45C9" w:rsidP="00551D8A">
            <w:pPr>
              <w:ind w:right="-720"/>
              <w:rPr>
                <w:rFonts w:cs="Arial"/>
              </w:rPr>
            </w:pPr>
            <w:r>
              <w:rPr>
                <w:rFonts w:cs="Arial"/>
              </w:rPr>
              <w:t>studies to a one-year completion date.</w:t>
            </w:r>
          </w:p>
          <w:p w:rsidR="009E1E27" w:rsidRDefault="009E1E27" w:rsidP="00551D8A">
            <w:pPr>
              <w:ind w:right="-720"/>
              <w:rPr>
                <w:rFonts w:ascii="Arial" w:hAnsi="Arial" w:cs="Arial"/>
                <w:b/>
                <w:sz w:val="20"/>
                <w:szCs w:val="20"/>
              </w:rPr>
            </w:pPr>
          </w:p>
          <w:p w:rsidR="008A7FB0" w:rsidRPr="00D838A4" w:rsidRDefault="00D26E02" w:rsidP="008A7FB0">
            <w:pPr>
              <w:tabs>
                <w:tab w:val="left" w:pos="3330"/>
                <w:tab w:val="left" w:pos="3960"/>
              </w:tabs>
              <w:jc w:val="both"/>
              <w:rPr>
                <w:rFonts w:cstheme="minorHAnsi"/>
                <w:b/>
              </w:rPr>
            </w:pPr>
            <w:r>
              <w:rPr>
                <w:rFonts w:cstheme="minorHAnsi"/>
                <w:b/>
              </w:rPr>
              <w:t>MEPDG CLIMATE DATABASE</w:t>
            </w:r>
            <w:r w:rsidR="008A7FB0" w:rsidRPr="00D838A4">
              <w:rPr>
                <w:rFonts w:cstheme="minorHAnsi"/>
                <w:b/>
              </w:rPr>
              <w:t xml:space="preserve"> </w:t>
            </w:r>
          </w:p>
          <w:p w:rsidR="00B931E2" w:rsidRDefault="00E20ED3" w:rsidP="00E20ED3">
            <w:pPr>
              <w:rPr>
                <w:rFonts w:cs="Tahoma"/>
              </w:rPr>
            </w:pPr>
            <w:r w:rsidRPr="008860C1">
              <w:rPr>
                <w:rFonts w:cs="Tahoma"/>
              </w:rPr>
              <w:t>The research</w:t>
            </w:r>
            <w:r>
              <w:rPr>
                <w:rFonts w:cs="Tahoma"/>
              </w:rPr>
              <w:t xml:space="preserve"> team</w:t>
            </w:r>
            <w:r w:rsidRPr="008860C1">
              <w:rPr>
                <w:rFonts w:cs="Tahoma"/>
              </w:rPr>
              <w:t xml:space="preserve"> coordinat</w:t>
            </w:r>
            <w:r>
              <w:rPr>
                <w:rFonts w:cs="Tahoma"/>
              </w:rPr>
              <w:t>ed</w:t>
            </w:r>
            <w:r w:rsidRPr="008860C1">
              <w:rPr>
                <w:rFonts w:cs="Tahoma"/>
              </w:rPr>
              <w:t xml:space="preserve"> with LTRC to identify three representative pavement sections </w:t>
            </w:r>
            <w:r w:rsidRPr="005E3B7F">
              <w:rPr>
                <w:rFonts w:cs="Tahoma"/>
              </w:rPr>
              <w:t>for use i</w:t>
            </w:r>
            <w:r>
              <w:rPr>
                <w:rFonts w:cs="Tahoma"/>
              </w:rPr>
              <w:t>n verifying the climate files.</w:t>
            </w:r>
            <w:r w:rsidR="00B931E2">
              <w:rPr>
                <w:rFonts w:cs="Tahoma"/>
              </w:rPr>
              <w:t xml:space="preserve"> The work for the first phase of this research has been completed, and LTRC </w:t>
            </w:r>
            <w:r w:rsidR="00206FCD">
              <w:rPr>
                <w:rFonts w:cs="Tahoma"/>
              </w:rPr>
              <w:t>has</w:t>
            </w:r>
            <w:r w:rsidR="00B931E2">
              <w:rPr>
                <w:rFonts w:cs="Tahoma"/>
              </w:rPr>
              <w:t xml:space="preserve"> asked that the research be extended to include more information.</w:t>
            </w:r>
          </w:p>
          <w:p w:rsidR="00B931E2" w:rsidRDefault="00B931E2" w:rsidP="00E20ED3">
            <w:pPr>
              <w:rPr>
                <w:rFonts w:cs="Tahoma"/>
              </w:rPr>
            </w:pPr>
          </w:p>
          <w:p w:rsidR="00E20ED3" w:rsidRPr="00657386" w:rsidRDefault="00E20ED3" w:rsidP="00E20ED3">
            <w:pPr>
              <w:rPr>
                <w:rFonts w:cs="Tahoma"/>
              </w:rPr>
            </w:pPr>
            <w:r>
              <w:rPr>
                <w:rFonts w:cs="Tahoma"/>
              </w:rPr>
              <w:t xml:space="preserve">Progress on the project </w:t>
            </w:r>
            <w:r w:rsidR="00022040">
              <w:rPr>
                <w:rFonts w:cs="Tahoma"/>
              </w:rPr>
              <w:t>has been</w:t>
            </w:r>
            <w:r>
              <w:rPr>
                <w:rFonts w:cs="Tahoma"/>
              </w:rPr>
              <w:t xml:space="preserve"> delayed while </w:t>
            </w:r>
            <w:r w:rsidR="00A10F7B">
              <w:rPr>
                <w:rFonts w:cs="Tahoma"/>
              </w:rPr>
              <w:t>the PI waits on signed contract from Iowa State University</w:t>
            </w:r>
            <w:r>
              <w:rPr>
                <w:rFonts w:cs="Tahoma"/>
              </w:rPr>
              <w:t xml:space="preserve">.  </w:t>
            </w:r>
          </w:p>
          <w:p w:rsidR="00A7193F" w:rsidRDefault="00A7193F" w:rsidP="008A7FB0">
            <w:pPr>
              <w:tabs>
                <w:tab w:val="left" w:pos="3330"/>
                <w:tab w:val="left" w:pos="3960"/>
              </w:tabs>
              <w:jc w:val="both"/>
              <w:rPr>
                <w:rFonts w:cstheme="minorHAnsi"/>
              </w:rPr>
            </w:pPr>
          </w:p>
          <w:p w:rsidR="00206FCD" w:rsidRPr="00206FCD" w:rsidRDefault="00D26E02" w:rsidP="008A7FB0">
            <w:pPr>
              <w:tabs>
                <w:tab w:val="left" w:pos="3330"/>
                <w:tab w:val="left" w:pos="3960"/>
              </w:tabs>
              <w:jc w:val="both"/>
              <w:rPr>
                <w:rFonts w:cstheme="minorHAnsi"/>
                <w:b/>
              </w:rPr>
            </w:pPr>
            <w:r w:rsidRPr="00206FCD">
              <w:rPr>
                <w:rFonts w:cstheme="minorHAnsi"/>
                <w:b/>
              </w:rPr>
              <w:t>OGFC STUDY</w:t>
            </w:r>
          </w:p>
          <w:p w:rsidR="00206FCD" w:rsidRDefault="00206FCD" w:rsidP="00206FCD">
            <w:pPr>
              <w:ind w:left="360" w:hanging="360"/>
            </w:pPr>
          </w:p>
          <w:p w:rsidR="00206FCD" w:rsidRDefault="00206FCD" w:rsidP="00206FCD">
            <w:r>
              <w:t xml:space="preserve">A study of OGFC performance for several aggregate sources in South Carolina has begun. A few of the sources have a marginal to poor performance history and will be compared to a "control" mix source that has provided satisfactory </w:t>
            </w:r>
            <w:r>
              <w:lastRenderedPageBreak/>
              <w:t>results. During this quarter the following work has been done:</w:t>
            </w:r>
          </w:p>
          <w:p w:rsidR="00206FCD" w:rsidRDefault="00206FCD" w:rsidP="00206FCD">
            <w:pPr>
              <w:ind w:left="360"/>
            </w:pPr>
          </w:p>
          <w:p w:rsidR="00206FCD" w:rsidRDefault="00206FCD" w:rsidP="00206FCD">
            <w:pPr>
              <w:pStyle w:val="ListParagraph"/>
              <w:numPr>
                <w:ilvl w:val="0"/>
                <w:numId w:val="3"/>
              </w:numPr>
              <w:contextualSpacing w:val="0"/>
            </w:pPr>
            <w:r>
              <w:t>Completed gradations and specific gravity on all 11 aggregate stockpiles.</w:t>
            </w:r>
          </w:p>
          <w:p w:rsidR="00206FCD" w:rsidRDefault="00206FCD" w:rsidP="00206FCD">
            <w:pPr>
              <w:pStyle w:val="ListParagraph"/>
              <w:numPr>
                <w:ilvl w:val="0"/>
                <w:numId w:val="3"/>
              </w:numPr>
              <w:contextualSpacing w:val="0"/>
            </w:pPr>
            <w:r>
              <w:t xml:space="preserve">Prepared </w:t>
            </w:r>
            <w:r w:rsidR="002B45C9">
              <w:t xml:space="preserve">and submitted </w:t>
            </w:r>
            <w:r>
              <w:t xml:space="preserve">samples from all five aggregate sources for Petrographic </w:t>
            </w:r>
            <w:r w:rsidR="002B45C9">
              <w:t xml:space="preserve">microscopic </w:t>
            </w:r>
            <w:r>
              <w:t>analysis.</w:t>
            </w:r>
          </w:p>
          <w:p w:rsidR="00206FCD" w:rsidRDefault="00206FCD" w:rsidP="00206FCD">
            <w:pPr>
              <w:pStyle w:val="ListParagraph"/>
              <w:numPr>
                <w:ilvl w:val="0"/>
                <w:numId w:val="3"/>
              </w:numPr>
              <w:contextualSpacing w:val="0"/>
            </w:pPr>
            <w:r>
              <w:t>Prepared samples for Flat and Elongated testing.  Testing is pending.</w:t>
            </w:r>
          </w:p>
          <w:p w:rsidR="00206FCD" w:rsidRDefault="00206FCD" w:rsidP="00206FCD">
            <w:pPr>
              <w:pStyle w:val="ListParagraph"/>
              <w:numPr>
                <w:ilvl w:val="0"/>
                <w:numId w:val="3"/>
              </w:numPr>
              <w:contextualSpacing w:val="0"/>
            </w:pPr>
            <w:r>
              <w:t>Prepared a trial blend for each of the five aggregate sources.  Compacted one gyratory</w:t>
            </w:r>
            <w:r w:rsidR="002B45C9">
              <w:t xml:space="preserve"> set</w:t>
            </w:r>
            <w:r>
              <w:t xml:space="preserve"> and one set of Gmm for four of </w:t>
            </w:r>
            <w:r w:rsidR="002B45C9">
              <w:t>the five aggregate sources</w:t>
            </w:r>
            <w:r>
              <w:t>.</w:t>
            </w:r>
          </w:p>
          <w:p w:rsidR="006B6D68" w:rsidRPr="008A527D" w:rsidRDefault="00206FCD" w:rsidP="00F601D5">
            <w:pPr>
              <w:pStyle w:val="ListParagraph"/>
              <w:numPr>
                <w:ilvl w:val="0"/>
                <w:numId w:val="3"/>
              </w:numPr>
              <w:autoSpaceDE w:val="0"/>
              <w:autoSpaceDN w:val="0"/>
              <w:adjustRightInd w:val="0"/>
              <w:contextualSpacing w:val="0"/>
            </w:pPr>
            <w:r>
              <w:t xml:space="preserve">Ran Gmm on the </w:t>
            </w:r>
            <w:r w:rsidR="008A527D">
              <w:t>"control"</w:t>
            </w:r>
            <w:r>
              <w:t xml:space="preserve"> mix.  </w:t>
            </w:r>
          </w:p>
          <w:p w:rsidR="00206FCD" w:rsidRDefault="00206FCD" w:rsidP="00F601D5">
            <w:pPr>
              <w:autoSpaceDE w:val="0"/>
              <w:autoSpaceDN w:val="0"/>
              <w:adjustRightInd w:val="0"/>
              <w:rPr>
                <w:rFonts w:cs="Times New Roman"/>
              </w:rPr>
            </w:pPr>
          </w:p>
          <w:p w:rsidR="00FF3B57" w:rsidRPr="00FF3B57" w:rsidRDefault="00D26E02" w:rsidP="00F601D5">
            <w:pPr>
              <w:autoSpaceDE w:val="0"/>
              <w:autoSpaceDN w:val="0"/>
              <w:adjustRightInd w:val="0"/>
              <w:rPr>
                <w:rFonts w:cs="Times New Roman"/>
                <w:b/>
              </w:rPr>
            </w:pPr>
            <w:r w:rsidRPr="00FF3B57">
              <w:rPr>
                <w:rFonts w:cs="Times New Roman"/>
                <w:b/>
              </w:rPr>
              <w:t>CRUMB RUBBER MIXTURE</w:t>
            </w:r>
          </w:p>
          <w:p w:rsidR="006E6621" w:rsidRDefault="00FF3B57" w:rsidP="00F601D5">
            <w:pPr>
              <w:autoSpaceDE w:val="0"/>
              <w:autoSpaceDN w:val="0"/>
              <w:adjustRightInd w:val="0"/>
              <w:rPr>
                <w:rFonts w:cs="Times New Roman"/>
              </w:rPr>
            </w:pPr>
            <w:r>
              <w:rPr>
                <w:rFonts w:cs="Times New Roman"/>
              </w:rPr>
              <w:t xml:space="preserve">A study for Puerto Rico to evaluate the effect of crumb rubber in asphalt mixtures began last </w:t>
            </w:r>
            <w:r w:rsidR="006E6621">
              <w:rPr>
                <w:rFonts w:cs="Times New Roman"/>
              </w:rPr>
              <w:t>Fall</w:t>
            </w:r>
            <w:r>
              <w:rPr>
                <w:rFonts w:cs="Times New Roman"/>
              </w:rPr>
              <w:t xml:space="preserve">. This quarter, </w:t>
            </w:r>
          </w:p>
          <w:p w:rsidR="00D26E02" w:rsidRDefault="00D26E02" w:rsidP="00F601D5">
            <w:pPr>
              <w:autoSpaceDE w:val="0"/>
              <w:autoSpaceDN w:val="0"/>
              <w:adjustRightInd w:val="0"/>
              <w:rPr>
                <w:rFonts w:cs="Times New Roman"/>
              </w:rPr>
            </w:pPr>
            <w:r>
              <w:rPr>
                <w:rFonts w:cs="Times New Roman"/>
              </w:rPr>
              <w:t>Dynamic modulus and Flow Number testing was completed. According to recommended NCHRP criteria, the crumb rubber mixture is suitable for projects with up to 10 million ESAL traffic loading over a 20-year design life.</w:t>
            </w:r>
          </w:p>
          <w:p w:rsidR="00D26E02" w:rsidRDefault="00D26E02" w:rsidP="00F601D5">
            <w:pPr>
              <w:autoSpaceDE w:val="0"/>
              <w:autoSpaceDN w:val="0"/>
              <w:adjustRightInd w:val="0"/>
              <w:rPr>
                <w:rFonts w:cs="Times New Roman"/>
              </w:rPr>
            </w:pPr>
          </w:p>
          <w:p w:rsidR="00D26E02" w:rsidRPr="002F2AC1" w:rsidRDefault="00D26E02" w:rsidP="00D26E02">
            <w:pPr>
              <w:rPr>
                <w:b/>
              </w:rPr>
            </w:pPr>
            <w:r>
              <w:rPr>
                <w:b/>
              </w:rPr>
              <w:t xml:space="preserve">Flow Number Results – </w:t>
            </w:r>
            <w:r>
              <w:rPr>
                <w:b/>
                <w:noProof/>
              </w:rPr>
              <w:t>GTR Mix</w:t>
            </w:r>
          </w:p>
          <w:tbl>
            <w:tblPr>
              <w:tblStyle w:val="TableGrid"/>
              <w:tblW w:w="0" w:type="auto"/>
              <w:tblLook w:val="04A0" w:firstRow="1" w:lastRow="0" w:firstColumn="1" w:lastColumn="0" w:noHBand="0" w:noVBand="1"/>
            </w:tblPr>
            <w:tblGrid>
              <w:gridCol w:w="2358"/>
              <w:gridCol w:w="2610"/>
              <w:gridCol w:w="2610"/>
            </w:tblGrid>
            <w:tr w:rsidR="00D26E02" w:rsidTr="00D81EEC">
              <w:tc>
                <w:tcPr>
                  <w:tcW w:w="2358" w:type="dxa"/>
                  <w:vAlign w:val="center"/>
                </w:tcPr>
                <w:p w:rsidR="00D26E02" w:rsidRPr="003E1135" w:rsidRDefault="00D26E02" w:rsidP="00D81EEC">
                  <w:pPr>
                    <w:jc w:val="center"/>
                    <w:rPr>
                      <w:b/>
                      <w:i/>
                    </w:rPr>
                  </w:pPr>
                  <w:r w:rsidRPr="003E1135">
                    <w:rPr>
                      <w:b/>
                      <w:i/>
                    </w:rPr>
                    <w:t>Flow Number</w:t>
                  </w:r>
                </w:p>
              </w:tc>
              <w:tc>
                <w:tcPr>
                  <w:tcW w:w="2610" w:type="dxa"/>
                </w:tcPr>
                <w:p w:rsidR="00D26E02" w:rsidRDefault="00D26E02" w:rsidP="00D81EEC">
                  <w:pPr>
                    <w:jc w:val="center"/>
                    <w:rPr>
                      <w:b/>
                      <w:noProof/>
                    </w:rPr>
                  </w:pPr>
                  <w:r>
                    <w:rPr>
                      <w:b/>
                      <w:noProof/>
                    </w:rPr>
                    <w:t>Air Voids (%)</w:t>
                  </w:r>
                </w:p>
              </w:tc>
              <w:tc>
                <w:tcPr>
                  <w:tcW w:w="2610" w:type="dxa"/>
                  <w:vAlign w:val="center"/>
                </w:tcPr>
                <w:p w:rsidR="00D26E02" w:rsidRPr="0069378E" w:rsidRDefault="00D26E02" w:rsidP="00D81EEC">
                  <w:pPr>
                    <w:jc w:val="center"/>
                    <w:rPr>
                      <w:b/>
                      <w:noProof/>
                    </w:rPr>
                  </w:pPr>
                  <w:r>
                    <w:rPr>
                      <w:b/>
                      <w:noProof/>
                    </w:rPr>
                    <w:t>GTR Mix</w:t>
                  </w:r>
                </w:p>
              </w:tc>
            </w:tr>
            <w:tr w:rsidR="00D26E02" w:rsidTr="00D81EEC">
              <w:tc>
                <w:tcPr>
                  <w:tcW w:w="2358" w:type="dxa"/>
                  <w:vAlign w:val="center"/>
                </w:tcPr>
                <w:p w:rsidR="00D26E02" w:rsidRPr="0083546F" w:rsidRDefault="00D26E02" w:rsidP="00D81EEC">
                  <w:pPr>
                    <w:jc w:val="center"/>
                  </w:pPr>
                  <w:r>
                    <w:t>Sample #3</w:t>
                  </w:r>
                </w:p>
              </w:tc>
              <w:tc>
                <w:tcPr>
                  <w:tcW w:w="2610" w:type="dxa"/>
                </w:tcPr>
                <w:p w:rsidR="00D26E02" w:rsidRDefault="00D26E02" w:rsidP="00D81EEC">
                  <w:pPr>
                    <w:jc w:val="center"/>
                  </w:pPr>
                  <w:r>
                    <w:t>7.2</w:t>
                  </w:r>
                </w:p>
              </w:tc>
              <w:tc>
                <w:tcPr>
                  <w:tcW w:w="2610" w:type="dxa"/>
                </w:tcPr>
                <w:p w:rsidR="00D26E02" w:rsidRPr="004408C6" w:rsidRDefault="00D26E02" w:rsidP="00D81EEC">
                  <w:pPr>
                    <w:jc w:val="center"/>
                  </w:pPr>
                  <w:r>
                    <w:t>153</w:t>
                  </w:r>
                </w:p>
              </w:tc>
            </w:tr>
            <w:tr w:rsidR="00D26E02" w:rsidTr="00D81EEC">
              <w:tc>
                <w:tcPr>
                  <w:tcW w:w="2358" w:type="dxa"/>
                  <w:vAlign w:val="center"/>
                </w:tcPr>
                <w:p w:rsidR="00D26E02" w:rsidRPr="0083546F" w:rsidRDefault="00D26E02" w:rsidP="00D81EEC">
                  <w:pPr>
                    <w:jc w:val="center"/>
                  </w:pPr>
                  <w:r>
                    <w:t>Sample #4</w:t>
                  </w:r>
                </w:p>
              </w:tc>
              <w:tc>
                <w:tcPr>
                  <w:tcW w:w="2610" w:type="dxa"/>
                </w:tcPr>
                <w:p w:rsidR="00D26E02" w:rsidRDefault="00D26E02" w:rsidP="00D81EEC">
                  <w:pPr>
                    <w:jc w:val="center"/>
                  </w:pPr>
                  <w:r>
                    <w:t>7.5</w:t>
                  </w:r>
                </w:p>
              </w:tc>
              <w:tc>
                <w:tcPr>
                  <w:tcW w:w="2610" w:type="dxa"/>
                </w:tcPr>
                <w:p w:rsidR="00D26E02" w:rsidRPr="004408C6" w:rsidRDefault="00D26E02" w:rsidP="00D81EEC">
                  <w:pPr>
                    <w:jc w:val="center"/>
                  </w:pPr>
                  <w:r>
                    <w:t>94</w:t>
                  </w:r>
                </w:p>
              </w:tc>
            </w:tr>
            <w:tr w:rsidR="00D26E02" w:rsidTr="00D81EEC">
              <w:tc>
                <w:tcPr>
                  <w:tcW w:w="2358" w:type="dxa"/>
                  <w:vAlign w:val="center"/>
                </w:tcPr>
                <w:p w:rsidR="00D26E02" w:rsidRPr="0083546F" w:rsidRDefault="00D26E02" w:rsidP="00D81EEC">
                  <w:pPr>
                    <w:jc w:val="center"/>
                  </w:pPr>
                  <w:r>
                    <w:t>Sample #5</w:t>
                  </w:r>
                </w:p>
              </w:tc>
              <w:tc>
                <w:tcPr>
                  <w:tcW w:w="2610" w:type="dxa"/>
                </w:tcPr>
                <w:p w:rsidR="00D26E02" w:rsidRDefault="00D26E02" w:rsidP="00D81EEC">
                  <w:pPr>
                    <w:jc w:val="center"/>
                  </w:pPr>
                  <w:r>
                    <w:t>7.0</w:t>
                  </w:r>
                </w:p>
              </w:tc>
              <w:tc>
                <w:tcPr>
                  <w:tcW w:w="2610" w:type="dxa"/>
                </w:tcPr>
                <w:p w:rsidR="00D26E02" w:rsidRDefault="00D26E02" w:rsidP="00D81EEC">
                  <w:pPr>
                    <w:jc w:val="center"/>
                  </w:pPr>
                  <w:r>
                    <w:t>139</w:t>
                  </w:r>
                </w:p>
              </w:tc>
            </w:tr>
            <w:tr w:rsidR="00D26E02" w:rsidTr="00D81EEC">
              <w:tc>
                <w:tcPr>
                  <w:tcW w:w="2358" w:type="dxa"/>
                  <w:vAlign w:val="center"/>
                </w:tcPr>
                <w:p w:rsidR="00D26E02" w:rsidRPr="0083546F" w:rsidRDefault="00D26E02" w:rsidP="00D81EEC">
                  <w:pPr>
                    <w:jc w:val="center"/>
                  </w:pPr>
                  <w:r>
                    <w:t>Sample #6</w:t>
                  </w:r>
                </w:p>
              </w:tc>
              <w:tc>
                <w:tcPr>
                  <w:tcW w:w="2610" w:type="dxa"/>
                </w:tcPr>
                <w:p w:rsidR="00D26E02" w:rsidRDefault="00D26E02" w:rsidP="00D81EEC">
                  <w:pPr>
                    <w:jc w:val="center"/>
                  </w:pPr>
                  <w:r>
                    <w:t>7.2</w:t>
                  </w:r>
                </w:p>
              </w:tc>
              <w:tc>
                <w:tcPr>
                  <w:tcW w:w="2610" w:type="dxa"/>
                </w:tcPr>
                <w:p w:rsidR="00D26E02" w:rsidRPr="004408C6" w:rsidRDefault="00D26E02" w:rsidP="00D81EEC">
                  <w:pPr>
                    <w:jc w:val="center"/>
                  </w:pPr>
                  <w:r>
                    <w:t>264</w:t>
                  </w:r>
                </w:p>
              </w:tc>
            </w:tr>
            <w:tr w:rsidR="00D26E02" w:rsidTr="00D26E02">
              <w:trPr>
                <w:trHeight w:val="89"/>
              </w:trPr>
              <w:tc>
                <w:tcPr>
                  <w:tcW w:w="7578" w:type="dxa"/>
                  <w:gridSpan w:val="3"/>
                  <w:shd w:val="clear" w:color="auto" w:fill="B8CCE4" w:themeFill="accent1" w:themeFillTint="66"/>
                </w:tcPr>
                <w:p w:rsidR="00D26E02" w:rsidRDefault="00D26E02" w:rsidP="00D81EEC">
                  <w:pPr>
                    <w:jc w:val="center"/>
                  </w:pPr>
                </w:p>
              </w:tc>
            </w:tr>
            <w:tr w:rsidR="00D26E02" w:rsidTr="00D81EEC">
              <w:tc>
                <w:tcPr>
                  <w:tcW w:w="2358" w:type="dxa"/>
                  <w:vAlign w:val="center"/>
                </w:tcPr>
                <w:p w:rsidR="00D26E02" w:rsidRPr="0083546F" w:rsidRDefault="00D26E02" w:rsidP="00D81EEC">
                  <w:pPr>
                    <w:jc w:val="center"/>
                  </w:pPr>
                  <w:r w:rsidRPr="0083546F">
                    <w:t>Average</w:t>
                  </w:r>
                </w:p>
              </w:tc>
              <w:tc>
                <w:tcPr>
                  <w:tcW w:w="2610" w:type="dxa"/>
                </w:tcPr>
                <w:p w:rsidR="00D26E02" w:rsidRDefault="00D26E02" w:rsidP="00D81EEC">
                  <w:pPr>
                    <w:jc w:val="center"/>
                  </w:pPr>
                  <w:r>
                    <w:t>7.2</w:t>
                  </w:r>
                </w:p>
              </w:tc>
              <w:tc>
                <w:tcPr>
                  <w:tcW w:w="2610" w:type="dxa"/>
                  <w:vAlign w:val="center"/>
                </w:tcPr>
                <w:p w:rsidR="00D26E02" w:rsidRPr="0083546F" w:rsidRDefault="00D26E02" w:rsidP="00D81EEC">
                  <w:pPr>
                    <w:jc w:val="center"/>
                  </w:pPr>
                  <w:r>
                    <w:t>163</w:t>
                  </w:r>
                </w:p>
              </w:tc>
            </w:tr>
            <w:tr w:rsidR="00D26E02" w:rsidTr="00D26E02">
              <w:tc>
                <w:tcPr>
                  <w:tcW w:w="2358" w:type="dxa"/>
                  <w:vAlign w:val="center"/>
                </w:tcPr>
                <w:p w:rsidR="00D26E02" w:rsidRPr="0083546F" w:rsidRDefault="00D26E02" w:rsidP="00D81EEC">
                  <w:pPr>
                    <w:jc w:val="center"/>
                  </w:pPr>
                  <w:r w:rsidRPr="0083546F">
                    <w:t>Acceptable Traffic Level</w:t>
                  </w:r>
                </w:p>
              </w:tc>
              <w:tc>
                <w:tcPr>
                  <w:tcW w:w="2610" w:type="dxa"/>
                  <w:shd w:val="clear" w:color="auto" w:fill="auto"/>
                </w:tcPr>
                <w:p w:rsidR="00D26E02" w:rsidRPr="004A6312" w:rsidRDefault="00D26E02" w:rsidP="00D81EEC">
                  <w:pPr>
                    <w:jc w:val="center"/>
                  </w:pPr>
                </w:p>
              </w:tc>
              <w:tc>
                <w:tcPr>
                  <w:tcW w:w="2610" w:type="dxa"/>
                  <w:vAlign w:val="center"/>
                </w:tcPr>
                <w:p w:rsidR="00D26E02" w:rsidRPr="0083546F" w:rsidRDefault="00D26E02" w:rsidP="00D81EEC">
                  <w:pPr>
                    <w:jc w:val="center"/>
                  </w:pPr>
                  <w:r w:rsidRPr="004A6312">
                    <w:t>3 to &lt; 10</w:t>
                  </w:r>
                  <w:r>
                    <w:t xml:space="preserve"> Million ESAL</w:t>
                  </w:r>
                </w:p>
              </w:tc>
            </w:tr>
          </w:tbl>
          <w:p w:rsidR="00D26E02" w:rsidRDefault="00D26E02" w:rsidP="00D26E02"/>
          <w:p w:rsidR="006B6D68" w:rsidRPr="00B157DF" w:rsidRDefault="006B6D68" w:rsidP="00F601D5">
            <w:pPr>
              <w:autoSpaceDE w:val="0"/>
              <w:autoSpaceDN w:val="0"/>
              <w:adjustRightInd w:val="0"/>
              <w:rPr>
                <w:rFonts w:cs="Times New Roman"/>
              </w:rPr>
            </w:pPr>
            <w:r w:rsidRPr="00B157DF">
              <w:rPr>
                <w:rFonts w:cs="Times New Roman"/>
                <w:b/>
              </w:rPr>
              <w:t>TRAINING</w:t>
            </w:r>
          </w:p>
          <w:p w:rsidR="006B6D68" w:rsidRDefault="008A527D" w:rsidP="00F601D5">
            <w:pPr>
              <w:autoSpaceDE w:val="0"/>
              <w:autoSpaceDN w:val="0"/>
              <w:adjustRightInd w:val="0"/>
              <w:rPr>
                <w:rFonts w:cs="Times New Roman"/>
              </w:rPr>
            </w:pPr>
            <w:r>
              <w:rPr>
                <w:rFonts w:cs="Times New Roman"/>
              </w:rPr>
              <w:t>Eight</w:t>
            </w:r>
            <w:r w:rsidR="006B6D68" w:rsidRPr="00B157DF">
              <w:rPr>
                <w:rFonts w:cs="Times New Roman"/>
              </w:rPr>
              <w:t xml:space="preserve"> technician training and certification courses</w:t>
            </w:r>
            <w:r w:rsidR="005140AD">
              <w:rPr>
                <w:rFonts w:cs="Times New Roman"/>
              </w:rPr>
              <w:t xml:space="preserve"> </w:t>
            </w:r>
            <w:r w:rsidR="00BB65DC">
              <w:rPr>
                <w:rFonts w:cs="Times New Roman"/>
              </w:rPr>
              <w:t xml:space="preserve">were taught in </w:t>
            </w:r>
            <w:r>
              <w:rPr>
                <w:rFonts w:cs="Times New Roman"/>
              </w:rPr>
              <w:t xml:space="preserve">Puerto Rico this quarter including Asphalt Level 1, Asphalt Level 2, </w:t>
            </w:r>
            <w:r w:rsidR="00D26E02">
              <w:rPr>
                <w:rFonts w:cs="Times New Roman"/>
              </w:rPr>
              <w:t xml:space="preserve">and </w:t>
            </w:r>
            <w:r>
              <w:rPr>
                <w:rFonts w:cs="Times New Roman"/>
              </w:rPr>
              <w:t>Aggregate Technician</w:t>
            </w:r>
            <w:r w:rsidR="00D86230">
              <w:rPr>
                <w:rFonts w:cs="Times New Roman"/>
              </w:rPr>
              <w:t>.</w:t>
            </w:r>
            <w:r w:rsidR="005140AD">
              <w:rPr>
                <w:rFonts w:cs="Times New Roman"/>
              </w:rPr>
              <w:t xml:space="preserve"> </w:t>
            </w:r>
            <w:r>
              <w:rPr>
                <w:rFonts w:cs="Times New Roman"/>
              </w:rPr>
              <w:t>A total of 120 technicians and engineers have been trained through this effort this quarter.</w:t>
            </w:r>
          </w:p>
          <w:p w:rsidR="00022040" w:rsidRDefault="00022040" w:rsidP="00F601D5">
            <w:pPr>
              <w:autoSpaceDE w:val="0"/>
              <w:autoSpaceDN w:val="0"/>
              <w:adjustRightInd w:val="0"/>
              <w:rPr>
                <w:rFonts w:cs="Times New Roman"/>
              </w:rPr>
            </w:pPr>
          </w:p>
          <w:p w:rsidR="00C3342B" w:rsidRPr="00D838A4" w:rsidRDefault="00C3342B" w:rsidP="008A7FB0">
            <w:pPr>
              <w:tabs>
                <w:tab w:val="left" w:pos="3330"/>
                <w:tab w:val="left" w:pos="3960"/>
              </w:tabs>
              <w:jc w:val="both"/>
              <w:rPr>
                <w:rFonts w:cstheme="minorHAnsi"/>
                <w:b/>
              </w:rPr>
            </w:pPr>
            <w:r w:rsidRPr="00D838A4">
              <w:rPr>
                <w:rFonts w:cstheme="minorHAnsi"/>
                <w:b/>
              </w:rPr>
              <w:t>TECHNOLOGY TRANSFER/TECHNICAL MEETINGS</w:t>
            </w:r>
            <w:r w:rsidR="008A7FB0" w:rsidRPr="00D838A4">
              <w:rPr>
                <w:rFonts w:cstheme="minorHAnsi"/>
                <w:b/>
              </w:rPr>
              <w:t xml:space="preserve">: </w:t>
            </w:r>
          </w:p>
          <w:p w:rsidR="008A7FB0" w:rsidRPr="000A5509" w:rsidRDefault="008A7FB0" w:rsidP="008A7FB0">
            <w:pPr>
              <w:tabs>
                <w:tab w:val="left" w:pos="3330"/>
                <w:tab w:val="left" w:pos="3960"/>
              </w:tabs>
              <w:jc w:val="both"/>
              <w:rPr>
                <w:rFonts w:cstheme="minorHAnsi"/>
              </w:rPr>
            </w:pPr>
            <w:r w:rsidRPr="000A5509">
              <w:rPr>
                <w:rFonts w:cstheme="minorHAnsi"/>
              </w:rPr>
              <w:t xml:space="preserve">Several agencies used funds this period to pay travel and registration expenses for employees to attend technical </w:t>
            </w:r>
            <w:r w:rsidR="00D838A4">
              <w:rPr>
                <w:rFonts w:cstheme="minorHAnsi"/>
              </w:rPr>
              <w:t>meetings such as ASTM</w:t>
            </w:r>
            <w:r w:rsidR="0085367B">
              <w:rPr>
                <w:rFonts w:cstheme="minorHAnsi"/>
              </w:rPr>
              <w:t>,</w:t>
            </w:r>
            <w:r w:rsidR="00A61B04">
              <w:rPr>
                <w:rFonts w:cstheme="minorHAnsi"/>
              </w:rPr>
              <w:t xml:space="preserve"> AASHTO</w:t>
            </w:r>
            <w:r w:rsidR="0085367B">
              <w:rPr>
                <w:rFonts w:cstheme="minorHAnsi"/>
              </w:rPr>
              <w:t xml:space="preserve">, </w:t>
            </w:r>
            <w:r w:rsidR="00923908">
              <w:rPr>
                <w:rFonts w:cstheme="minorHAnsi"/>
              </w:rPr>
              <w:t xml:space="preserve">SEAUPG, </w:t>
            </w:r>
            <w:r w:rsidR="0085367B">
              <w:rPr>
                <w:rFonts w:cstheme="minorHAnsi"/>
              </w:rPr>
              <w:t>and national</w:t>
            </w:r>
            <w:r w:rsidR="00A61B04">
              <w:rPr>
                <w:rFonts w:cstheme="minorHAnsi"/>
              </w:rPr>
              <w:t xml:space="preserve"> </w:t>
            </w:r>
            <w:r w:rsidRPr="000A5509">
              <w:rPr>
                <w:rFonts w:cstheme="minorHAnsi"/>
              </w:rPr>
              <w:t>meetings</w:t>
            </w:r>
            <w:r w:rsidR="0085367B">
              <w:rPr>
                <w:rFonts w:cstheme="minorHAnsi"/>
              </w:rPr>
              <w:t xml:space="preserve"> of technical interest</w:t>
            </w:r>
            <w:r w:rsidRPr="000A5509">
              <w:rPr>
                <w:rFonts w:cstheme="minorHAnsi"/>
              </w:rPr>
              <w:t>.</w:t>
            </w:r>
            <w:r w:rsidR="008A72B7">
              <w:rPr>
                <w:rFonts w:cstheme="minorHAnsi"/>
              </w:rPr>
              <w:t xml:space="preserve"> </w:t>
            </w:r>
          </w:p>
          <w:p w:rsidR="00601EBD" w:rsidRDefault="00601EBD" w:rsidP="00551D8A">
            <w:pPr>
              <w:ind w:right="-720"/>
              <w:rPr>
                <w:rFonts w:ascii="Arial" w:hAnsi="Arial" w:cs="Arial"/>
                <w:sz w:val="20"/>
                <w:szCs w:val="20"/>
              </w:rPr>
            </w:pPr>
          </w:p>
          <w:p w:rsidR="00CC1ED0" w:rsidRDefault="00CC1ED0" w:rsidP="00CC1ED0">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C1ED0" w:rsidRDefault="00CC1ED0" w:rsidP="00CC1ED0">
            <w:pPr>
              <w:ind w:right="-720"/>
              <w:rPr>
                <w:rFonts w:ascii="Arial" w:hAnsi="Arial" w:cs="Arial"/>
                <w:sz w:val="20"/>
                <w:szCs w:val="20"/>
              </w:rPr>
            </w:pPr>
          </w:p>
          <w:p w:rsidR="00BD258C" w:rsidRDefault="00896EE4" w:rsidP="005631AF">
            <w:pPr>
              <w:ind w:right="-720"/>
            </w:pPr>
            <w:r>
              <w:t>Work is expected to</w:t>
            </w:r>
            <w:r w:rsidR="00A61B04">
              <w:t xml:space="preserve"> resume on the</w:t>
            </w:r>
            <w:r w:rsidR="00A7193F">
              <w:t xml:space="preserve"> LA DOTD </w:t>
            </w:r>
            <w:r w:rsidR="00A61B04">
              <w:t xml:space="preserve">project. </w:t>
            </w:r>
            <w:r w:rsidR="005631AF">
              <w:t>Hopefully, contract details will be worked out with Iowa State.</w:t>
            </w:r>
          </w:p>
          <w:p w:rsidR="00BD258C" w:rsidRDefault="00BD258C" w:rsidP="00551D8A">
            <w:pPr>
              <w:ind w:right="-720"/>
            </w:pPr>
          </w:p>
          <w:p w:rsidR="0021446D" w:rsidRDefault="005631AF" w:rsidP="005140AD">
            <w:pPr>
              <w:ind w:right="-720"/>
            </w:pPr>
            <w:r>
              <w:t xml:space="preserve">OGFC </w:t>
            </w:r>
            <w:r w:rsidR="008A527D">
              <w:t>work for</w:t>
            </w:r>
            <w:r>
              <w:t xml:space="preserve"> South Carolina will </w:t>
            </w:r>
            <w:r w:rsidR="008A527D">
              <w:t>continue</w:t>
            </w:r>
            <w:r>
              <w:t>. Testing will also include aggregate breakdown and aggregate polishing with the British Pendulum test.</w:t>
            </w:r>
            <w:r w:rsidR="008A527D">
              <w:t xml:space="preserve"> All Gmm testing should be completed and some of the mix performance testing can begin.</w:t>
            </w:r>
          </w:p>
          <w:p w:rsidR="00C360D4" w:rsidRDefault="00C360D4" w:rsidP="00551D8A">
            <w:pPr>
              <w:ind w:right="-720"/>
            </w:pPr>
          </w:p>
          <w:p w:rsidR="008A527D" w:rsidRDefault="00092711" w:rsidP="008A527D">
            <w:pPr>
              <w:ind w:right="-720"/>
            </w:pPr>
            <w:r>
              <w:t xml:space="preserve">Alabama research on the effectiveness and performance of asphalt rejuvenators as a way of possibly improving </w:t>
            </w:r>
          </w:p>
          <w:p w:rsidR="00E54459" w:rsidRDefault="00092711" w:rsidP="008A527D">
            <w:pPr>
              <w:ind w:right="-720"/>
            </w:pPr>
            <w:r>
              <w:t>performance of OGFC mixtures</w:t>
            </w:r>
            <w:r w:rsidR="008A527D">
              <w:t xml:space="preserve"> will continue</w:t>
            </w:r>
            <w:r>
              <w:t>.</w:t>
            </w:r>
          </w:p>
          <w:p w:rsidR="008A527D" w:rsidRDefault="008A527D" w:rsidP="008A527D">
            <w:pPr>
              <w:ind w:right="-720"/>
            </w:pPr>
          </w:p>
          <w:p w:rsidR="008A527D" w:rsidRDefault="008A527D" w:rsidP="008A527D">
            <w:pPr>
              <w:ind w:right="-720"/>
            </w:pPr>
            <w:r>
              <w:t>A training agenda for Puerto Rico for calendar year 2015 will be developed, and new courses will be added.</w:t>
            </w:r>
          </w:p>
          <w:p w:rsidR="004B4BDE" w:rsidRDefault="004B4BDE" w:rsidP="008A527D">
            <w:pPr>
              <w:ind w:right="-720"/>
            </w:pPr>
          </w:p>
          <w:p w:rsidR="004B4BDE" w:rsidRDefault="004B4BDE" w:rsidP="008A527D">
            <w:pPr>
              <w:ind w:right="-720"/>
            </w:pPr>
            <w:r>
              <w:t>A presentation of active projects and financial status of the Southeastern Superpave Center will be presented at the</w:t>
            </w:r>
          </w:p>
          <w:p w:rsidR="004B4BDE" w:rsidRDefault="004B4BDE" w:rsidP="004B4BDE">
            <w:pPr>
              <w:ind w:right="-720"/>
            </w:pPr>
            <w:r>
              <w:t>Annual Superpave Center Management Committee meeting held in conjunction with the Southeastern Asphalt User/</w:t>
            </w:r>
          </w:p>
          <w:p w:rsidR="004B4BDE" w:rsidRDefault="004B4BDE" w:rsidP="004B4BDE">
            <w:pPr>
              <w:ind w:right="-720"/>
            </w:pPr>
            <w:r>
              <w:t>Producer Group Meeting in Nashville, Tennessee next month.</w:t>
            </w:r>
          </w:p>
          <w:p w:rsidR="004B4BDE" w:rsidRDefault="004B4BDE" w:rsidP="004B4BDE">
            <w:pPr>
              <w:ind w:right="-720"/>
            </w:pPr>
          </w:p>
          <w:p w:rsidR="004B4BDE" w:rsidRDefault="004B4BDE" w:rsidP="004B4BDE">
            <w:pPr>
              <w:ind w:right="-720"/>
            </w:pPr>
          </w:p>
          <w:p w:rsidR="004B4BDE" w:rsidRDefault="004B4BDE" w:rsidP="004B4BDE">
            <w:pPr>
              <w:ind w:right="-720"/>
              <w:rPr>
                <w:rFonts w:ascii="Arial" w:hAnsi="Arial" w:cs="Arial"/>
                <w:sz w:val="20"/>
                <w:szCs w:val="20"/>
              </w:rPr>
            </w:pPr>
          </w:p>
        </w:tc>
      </w:tr>
      <w:tr w:rsidR="00601EBD" w:rsidTr="009E1E27">
        <w:tc>
          <w:tcPr>
            <w:tcW w:w="10908" w:type="dxa"/>
            <w:tcBorders>
              <w:top w:val="single" w:sz="4" w:space="0" w:color="auto"/>
            </w:tcBorders>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Pr="00092711" w:rsidRDefault="00D26E02" w:rsidP="00551D8A">
            <w:pPr>
              <w:ind w:right="-720"/>
              <w:rPr>
                <w:rFonts w:ascii="Arial" w:hAnsi="Arial" w:cs="Arial"/>
                <w:sz w:val="20"/>
                <w:szCs w:val="20"/>
              </w:rPr>
            </w:pPr>
            <w:r>
              <w:rPr>
                <w:rFonts w:ascii="Arial" w:hAnsi="Arial" w:cs="Arial"/>
                <w:sz w:val="20"/>
                <w:szCs w:val="20"/>
              </w:rPr>
              <w:t>N/A</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9E1E27">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0A5509" w:rsidRDefault="00C3342B" w:rsidP="00551D8A">
            <w:pPr>
              <w:ind w:right="-720"/>
              <w:rPr>
                <w:rFonts w:cstheme="minorHAnsi"/>
              </w:rPr>
            </w:pPr>
            <w:r w:rsidRPr="000A5509">
              <w:rPr>
                <w:rFonts w:cstheme="minorHAnsi"/>
              </w:rPr>
              <w:t xml:space="preserve">The climate data being obtained will be useful for </w:t>
            </w:r>
            <w:r w:rsidR="004E2F3A">
              <w:rPr>
                <w:rFonts w:cstheme="minorHAnsi"/>
              </w:rPr>
              <w:t>Louisiana</w:t>
            </w:r>
            <w:r w:rsidRPr="000A5509">
              <w:rPr>
                <w:rFonts w:cstheme="minorHAnsi"/>
              </w:rPr>
              <w:t xml:space="preserve"> by providing specific climate data that is more compre</w:t>
            </w:r>
            <w:r w:rsidR="000A5509">
              <w:rPr>
                <w:rFonts w:cstheme="minorHAnsi"/>
              </w:rPr>
              <w:t xml:space="preserve">- </w:t>
            </w:r>
          </w:p>
          <w:p w:rsidR="00E35E0F" w:rsidRDefault="00C3342B" w:rsidP="00551D8A">
            <w:pPr>
              <w:ind w:right="-720"/>
              <w:rPr>
                <w:rFonts w:cstheme="minorHAnsi"/>
              </w:rPr>
            </w:pPr>
            <w:r w:rsidRPr="000A5509">
              <w:rPr>
                <w:rFonts w:cstheme="minorHAnsi"/>
              </w:rPr>
              <w:t>hensive and more accurate than the original data used in the MEPDG development.</w:t>
            </w:r>
          </w:p>
          <w:p w:rsidR="00300F3E" w:rsidRDefault="00300F3E" w:rsidP="00551D8A">
            <w:pPr>
              <w:ind w:right="-720"/>
              <w:rPr>
                <w:rFonts w:cstheme="minorHAnsi"/>
              </w:rPr>
            </w:pPr>
          </w:p>
          <w:p w:rsidR="00300F3E" w:rsidRDefault="00300F3E" w:rsidP="00551D8A">
            <w:pPr>
              <w:ind w:right="-720"/>
              <w:rPr>
                <w:rFonts w:cstheme="minorHAnsi"/>
              </w:rPr>
            </w:pPr>
            <w:r>
              <w:rPr>
                <w:rFonts w:cstheme="minorHAnsi"/>
              </w:rPr>
              <w:t xml:space="preserve">The crumb rubber research is being used to verify the potential benefit of using ground tire rubber in asphalt mixes in </w:t>
            </w:r>
          </w:p>
          <w:p w:rsidR="00300F3E" w:rsidRPr="000A5509" w:rsidRDefault="00092711" w:rsidP="00551D8A">
            <w:pPr>
              <w:ind w:right="-720"/>
              <w:rPr>
                <w:rFonts w:cstheme="minorHAnsi"/>
              </w:rPr>
            </w:pPr>
            <w:r>
              <w:rPr>
                <w:rFonts w:cstheme="minorHAnsi"/>
              </w:rPr>
              <w:t>order to pre</w:t>
            </w:r>
            <w:r w:rsidR="00300F3E">
              <w:rPr>
                <w:rFonts w:cstheme="minorHAnsi"/>
              </w:rPr>
              <w:t>serve the environment.</w:t>
            </w:r>
          </w:p>
          <w:p w:rsidR="00C3342B" w:rsidRPr="000A5509" w:rsidRDefault="00C3342B" w:rsidP="00551D8A">
            <w:pPr>
              <w:ind w:right="-720"/>
              <w:rPr>
                <w:rFonts w:cstheme="minorHAnsi"/>
              </w:rPr>
            </w:pPr>
          </w:p>
          <w:p w:rsidR="00C3342B" w:rsidRPr="00092711" w:rsidRDefault="00D86230" w:rsidP="00551D8A">
            <w:pPr>
              <w:ind w:right="-720"/>
              <w:rPr>
                <w:rFonts w:cstheme="minorHAnsi"/>
              </w:rPr>
            </w:pPr>
            <w:bookmarkStart w:id="1" w:name="_Hlk370714645"/>
            <w:r w:rsidRPr="00092711">
              <w:rPr>
                <w:rFonts w:cstheme="minorHAnsi"/>
              </w:rPr>
              <w:t xml:space="preserve">The training and certification courses being developed and taught will help ensure qualified technicians who are                                                                       </w:t>
            </w:r>
          </w:p>
          <w:bookmarkEnd w:id="1"/>
          <w:p w:rsidR="00E35E0F" w:rsidRPr="00092711" w:rsidRDefault="0085367B" w:rsidP="00551D8A">
            <w:pPr>
              <w:ind w:right="-720"/>
              <w:rPr>
                <w:rFonts w:cs="Arial"/>
                <w:sz w:val="20"/>
                <w:szCs w:val="20"/>
              </w:rPr>
            </w:pPr>
            <w:r w:rsidRPr="00092711">
              <w:rPr>
                <w:rFonts w:cs="Arial"/>
                <w:sz w:val="20"/>
                <w:szCs w:val="20"/>
              </w:rPr>
              <w:t>f</w:t>
            </w:r>
            <w:r w:rsidR="00D86230" w:rsidRPr="00092711">
              <w:rPr>
                <w:rFonts w:cs="Arial"/>
                <w:sz w:val="20"/>
                <w:szCs w:val="20"/>
              </w:rPr>
              <w:t>amiliar with agency specifications and test procedures</w:t>
            </w:r>
            <w:r w:rsidRPr="00092711">
              <w:rPr>
                <w:rFonts w:cs="Arial"/>
                <w:sz w:val="20"/>
                <w:szCs w:val="20"/>
              </w:rPr>
              <w:t xml:space="preserve"> will be involved in the asphalt binder and mixture acceptance </w:t>
            </w:r>
          </w:p>
          <w:p w:rsidR="00E35E0F" w:rsidRDefault="0085367B" w:rsidP="00551D8A">
            <w:pPr>
              <w:ind w:right="-720"/>
              <w:rPr>
                <w:rFonts w:cs="Arial"/>
                <w:sz w:val="20"/>
                <w:szCs w:val="20"/>
              </w:rPr>
            </w:pPr>
            <w:r w:rsidRPr="00092711">
              <w:rPr>
                <w:rFonts w:cs="Arial"/>
                <w:sz w:val="20"/>
                <w:szCs w:val="20"/>
              </w:rPr>
              <w:t>process.</w:t>
            </w:r>
          </w:p>
          <w:p w:rsidR="00D26E02" w:rsidRDefault="00D26E02" w:rsidP="00551D8A">
            <w:pPr>
              <w:ind w:right="-720"/>
              <w:rPr>
                <w:rFonts w:cs="Arial"/>
                <w:sz w:val="20"/>
                <w:szCs w:val="20"/>
              </w:rPr>
            </w:pPr>
          </w:p>
          <w:p w:rsidR="00D26E02" w:rsidRDefault="00D26E02" w:rsidP="00551D8A">
            <w:pPr>
              <w:ind w:right="-720"/>
              <w:rPr>
                <w:rFonts w:cs="Arial"/>
                <w:sz w:val="20"/>
                <w:szCs w:val="20"/>
              </w:rPr>
            </w:pPr>
            <w:r>
              <w:rPr>
                <w:rFonts w:cs="Arial"/>
                <w:sz w:val="20"/>
                <w:szCs w:val="20"/>
              </w:rPr>
              <w:t>Performance testing on OGFC  mixtures will be used to improve specifications for OGFC mixtures by evaluating certain aggregate</w:t>
            </w:r>
          </w:p>
          <w:p w:rsidR="00D26E02" w:rsidRPr="00092711" w:rsidRDefault="00D26E02" w:rsidP="00551D8A">
            <w:pPr>
              <w:ind w:right="-720"/>
              <w:rPr>
                <w:rFonts w:cs="Arial"/>
                <w:sz w:val="20"/>
                <w:szCs w:val="20"/>
              </w:rPr>
            </w:pPr>
            <w:r>
              <w:rPr>
                <w:rFonts w:cs="Arial"/>
                <w:sz w:val="20"/>
                <w:szCs w:val="20"/>
              </w:rPr>
              <w:t>Types and their material properties.</w:t>
            </w: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952" w:rsidRDefault="00A87952" w:rsidP="00106C83">
      <w:pPr>
        <w:spacing w:after="0" w:line="240" w:lineRule="auto"/>
      </w:pPr>
      <w:r>
        <w:separator/>
      </w:r>
    </w:p>
  </w:endnote>
  <w:endnote w:type="continuationSeparator" w:id="0">
    <w:p w:rsidR="00A87952" w:rsidRDefault="00A8795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362265"/>
      <w:docPartObj>
        <w:docPartGallery w:val="Page Numbers (Bottom of Page)"/>
        <w:docPartUnique/>
      </w:docPartObj>
    </w:sdtPr>
    <w:sdtEndPr>
      <w:rPr>
        <w:noProof/>
      </w:rPr>
    </w:sdtEndPr>
    <w:sdtContent>
      <w:p w:rsidR="00300F3E" w:rsidRDefault="00300F3E">
        <w:pPr>
          <w:pStyle w:val="Footer"/>
          <w:jc w:val="center"/>
        </w:pPr>
        <w:r>
          <w:fldChar w:fldCharType="begin"/>
        </w:r>
        <w:r>
          <w:instrText xml:space="preserve"> PAGE   \* MERGEFORMAT </w:instrText>
        </w:r>
        <w:r>
          <w:fldChar w:fldCharType="separate"/>
        </w:r>
        <w:r w:rsidR="00700365">
          <w:rPr>
            <w:noProof/>
          </w:rPr>
          <w:t>1</w:t>
        </w:r>
        <w:r>
          <w:rPr>
            <w:noProof/>
          </w:rPr>
          <w:fldChar w:fldCharType="end"/>
        </w:r>
      </w:p>
    </w:sdtContent>
  </w:sdt>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952" w:rsidRDefault="00A87952" w:rsidP="00106C83">
      <w:pPr>
        <w:spacing w:after="0" w:line="240" w:lineRule="auto"/>
      </w:pPr>
      <w:r>
        <w:separator/>
      </w:r>
    </w:p>
  </w:footnote>
  <w:footnote w:type="continuationSeparator" w:id="0">
    <w:p w:rsidR="00A87952" w:rsidRDefault="00A87952"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F45DD"/>
    <w:multiLevelType w:val="hybridMultilevel"/>
    <w:tmpl w:val="C6568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300408"/>
    <w:multiLevelType w:val="hybridMultilevel"/>
    <w:tmpl w:val="F4D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4344"/>
    <w:rsid w:val="00022040"/>
    <w:rsid w:val="00037FBC"/>
    <w:rsid w:val="00040DFF"/>
    <w:rsid w:val="000736BB"/>
    <w:rsid w:val="00092711"/>
    <w:rsid w:val="00094A80"/>
    <w:rsid w:val="000A479C"/>
    <w:rsid w:val="000A5509"/>
    <w:rsid w:val="000B665A"/>
    <w:rsid w:val="000F1C8D"/>
    <w:rsid w:val="00106C83"/>
    <w:rsid w:val="001547D0"/>
    <w:rsid w:val="00161153"/>
    <w:rsid w:val="00206FCD"/>
    <w:rsid w:val="0021446D"/>
    <w:rsid w:val="00224E48"/>
    <w:rsid w:val="0022593F"/>
    <w:rsid w:val="0023274B"/>
    <w:rsid w:val="00234BCE"/>
    <w:rsid w:val="00293FD8"/>
    <w:rsid w:val="0029510E"/>
    <w:rsid w:val="002A79C8"/>
    <w:rsid w:val="002B45C9"/>
    <w:rsid w:val="002F0C9E"/>
    <w:rsid w:val="00300F3E"/>
    <w:rsid w:val="003413CE"/>
    <w:rsid w:val="0038705A"/>
    <w:rsid w:val="003D69D8"/>
    <w:rsid w:val="003F57C8"/>
    <w:rsid w:val="00407C07"/>
    <w:rsid w:val="004144E6"/>
    <w:rsid w:val="004156B2"/>
    <w:rsid w:val="00417A94"/>
    <w:rsid w:val="00437734"/>
    <w:rsid w:val="00463B3D"/>
    <w:rsid w:val="004B0BF4"/>
    <w:rsid w:val="004B4BDE"/>
    <w:rsid w:val="004E14DC"/>
    <w:rsid w:val="004E2F3A"/>
    <w:rsid w:val="004E46C6"/>
    <w:rsid w:val="004E75D6"/>
    <w:rsid w:val="005140AD"/>
    <w:rsid w:val="00535598"/>
    <w:rsid w:val="005370EC"/>
    <w:rsid w:val="00547EE3"/>
    <w:rsid w:val="00551D8A"/>
    <w:rsid w:val="005631AF"/>
    <w:rsid w:val="00581B36"/>
    <w:rsid w:val="00583E8E"/>
    <w:rsid w:val="005F2FDD"/>
    <w:rsid w:val="006005B0"/>
    <w:rsid w:val="00601EBD"/>
    <w:rsid w:val="00623334"/>
    <w:rsid w:val="00642352"/>
    <w:rsid w:val="00655415"/>
    <w:rsid w:val="00682C5E"/>
    <w:rsid w:val="006B6D68"/>
    <w:rsid w:val="006C550E"/>
    <w:rsid w:val="006E323B"/>
    <w:rsid w:val="006E6621"/>
    <w:rsid w:val="006E713B"/>
    <w:rsid w:val="006F27A2"/>
    <w:rsid w:val="00700365"/>
    <w:rsid w:val="0070592F"/>
    <w:rsid w:val="00743C01"/>
    <w:rsid w:val="007835FC"/>
    <w:rsid w:val="00790C4A"/>
    <w:rsid w:val="007E2786"/>
    <w:rsid w:val="007E5BD2"/>
    <w:rsid w:val="007E70C1"/>
    <w:rsid w:val="00821973"/>
    <w:rsid w:val="00826EB8"/>
    <w:rsid w:val="00835F96"/>
    <w:rsid w:val="00853673"/>
    <w:rsid w:val="0085367B"/>
    <w:rsid w:val="00872F18"/>
    <w:rsid w:val="00874EF7"/>
    <w:rsid w:val="00896EE4"/>
    <w:rsid w:val="008A527D"/>
    <w:rsid w:val="008A72B7"/>
    <w:rsid w:val="008A7FB0"/>
    <w:rsid w:val="008D1AB6"/>
    <w:rsid w:val="008E7D21"/>
    <w:rsid w:val="008F3821"/>
    <w:rsid w:val="00923908"/>
    <w:rsid w:val="009574E5"/>
    <w:rsid w:val="009A4B10"/>
    <w:rsid w:val="009C7BEA"/>
    <w:rsid w:val="009D2405"/>
    <w:rsid w:val="009E1E27"/>
    <w:rsid w:val="00A10F7B"/>
    <w:rsid w:val="00A33242"/>
    <w:rsid w:val="00A43372"/>
    <w:rsid w:val="00A43875"/>
    <w:rsid w:val="00A61B04"/>
    <w:rsid w:val="00A63677"/>
    <w:rsid w:val="00A7193F"/>
    <w:rsid w:val="00A87952"/>
    <w:rsid w:val="00AE46B0"/>
    <w:rsid w:val="00B157DF"/>
    <w:rsid w:val="00B2185C"/>
    <w:rsid w:val="00B40749"/>
    <w:rsid w:val="00B41A3A"/>
    <w:rsid w:val="00B47800"/>
    <w:rsid w:val="00B66A21"/>
    <w:rsid w:val="00B777F4"/>
    <w:rsid w:val="00B86930"/>
    <w:rsid w:val="00B923DF"/>
    <w:rsid w:val="00B931E2"/>
    <w:rsid w:val="00BB65DC"/>
    <w:rsid w:val="00BC7CAA"/>
    <w:rsid w:val="00BD258C"/>
    <w:rsid w:val="00C04DFF"/>
    <w:rsid w:val="00C13753"/>
    <w:rsid w:val="00C3342B"/>
    <w:rsid w:val="00C360D4"/>
    <w:rsid w:val="00C70809"/>
    <w:rsid w:val="00C9575A"/>
    <w:rsid w:val="00CB5BC5"/>
    <w:rsid w:val="00CC1ED0"/>
    <w:rsid w:val="00D26E02"/>
    <w:rsid w:val="00D838A4"/>
    <w:rsid w:val="00D86230"/>
    <w:rsid w:val="00DB19D2"/>
    <w:rsid w:val="00DD5AD2"/>
    <w:rsid w:val="00DE1E59"/>
    <w:rsid w:val="00DE6888"/>
    <w:rsid w:val="00DF04FD"/>
    <w:rsid w:val="00E12DBB"/>
    <w:rsid w:val="00E20ED3"/>
    <w:rsid w:val="00E35E0F"/>
    <w:rsid w:val="00E371D1"/>
    <w:rsid w:val="00E53738"/>
    <w:rsid w:val="00E54459"/>
    <w:rsid w:val="00E70887"/>
    <w:rsid w:val="00E73363"/>
    <w:rsid w:val="00E90052"/>
    <w:rsid w:val="00EA3847"/>
    <w:rsid w:val="00EA783E"/>
    <w:rsid w:val="00ED5F67"/>
    <w:rsid w:val="00EF08AE"/>
    <w:rsid w:val="00EF25BC"/>
    <w:rsid w:val="00EF5790"/>
    <w:rsid w:val="00F21F77"/>
    <w:rsid w:val="00F22A73"/>
    <w:rsid w:val="00F46C3D"/>
    <w:rsid w:val="00F601D5"/>
    <w:rsid w:val="00F75259"/>
    <w:rsid w:val="00F90A6F"/>
    <w:rsid w:val="00F978E4"/>
    <w:rsid w:val="00FB3705"/>
    <w:rsid w:val="00FD1930"/>
    <w:rsid w:val="00FF1872"/>
    <w:rsid w:val="00FF32BE"/>
    <w:rsid w:val="00FF3B57"/>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B4295B-B1E0-4FF3-8B8E-C515F5EF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34"/>
    <w:qFormat/>
    <w:rsid w:val="00E20ED3"/>
    <w:pPr>
      <w:spacing w:after="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443354674">
      <w:bodyDiv w:val="1"/>
      <w:marLeft w:val="0"/>
      <w:marRight w:val="0"/>
      <w:marTop w:val="0"/>
      <w:marBottom w:val="0"/>
      <w:divBdr>
        <w:top w:val="none" w:sz="0" w:space="0" w:color="auto"/>
        <w:left w:val="none" w:sz="0" w:space="0" w:color="auto"/>
        <w:bottom w:val="none" w:sz="0" w:space="0" w:color="auto"/>
        <w:right w:val="none" w:sz="0" w:space="0" w:color="auto"/>
      </w:divBdr>
    </w:div>
    <w:div w:id="723063621">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E2A1B-B745-4C3B-9404-EC03F2F1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1258</Words>
  <Characters>7171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Johnson, Ron</cp:lastModifiedBy>
  <cp:revision>2</cp:revision>
  <cp:lastPrinted>2011-06-21T20:32:00Z</cp:lastPrinted>
  <dcterms:created xsi:type="dcterms:W3CDTF">2014-10-27T19:09:00Z</dcterms:created>
  <dcterms:modified xsi:type="dcterms:W3CDTF">2014-10-27T19:09:00Z</dcterms:modified>
</cp:coreProperties>
</file>