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C31CD"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A34F1F">
              <w:rPr>
                <w:rFonts w:ascii="Arial" w:hAnsi="Arial" w:cs="Arial"/>
                <w:sz w:val="36"/>
                <w:szCs w:val="36"/>
                <w:u w:val="single"/>
              </w:rPr>
              <w:t>_</w:t>
            </w:r>
            <w:r w:rsidRPr="00FC31CD">
              <w:rPr>
                <w:rFonts w:ascii="Arial" w:hAnsi="Arial" w:cs="Arial"/>
                <w:sz w:val="36"/>
                <w:szCs w:val="36"/>
              </w:rPr>
              <w:t xml:space="preserve"> </w:t>
            </w:r>
            <w:r w:rsidRPr="00FC31CD">
              <w:rPr>
                <w:rFonts w:ascii="Arial" w:hAnsi="Arial" w:cs="Arial"/>
                <w:sz w:val="20"/>
                <w:szCs w:val="20"/>
              </w:rPr>
              <w:t>Quarter 1 (January 1 – March 31</w:t>
            </w:r>
            <w:r w:rsidR="005C75FE" w:rsidRPr="00FC31CD">
              <w:rPr>
                <w:rFonts w:ascii="Arial" w:hAnsi="Arial" w:cs="Arial"/>
                <w:sz w:val="20"/>
                <w:szCs w:val="20"/>
              </w:rPr>
              <w:t xml:space="preserve">, </w:t>
            </w:r>
            <w:r w:rsidR="003E4DE4" w:rsidRPr="00FC31CD">
              <w:rPr>
                <w:rFonts w:ascii="Arial" w:hAnsi="Arial" w:cs="Arial"/>
                <w:sz w:val="20"/>
                <w:szCs w:val="20"/>
              </w:rPr>
              <w:t>2014</w:t>
            </w:r>
            <w:r w:rsidRPr="00FC31CD">
              <w:rPr>
                <w:rFonts w:ascii="Arial" w:hAnsi="Arial" w:cs="Arial"/>
                <w:sz w:val="20"/>
                <w:szCs w:val="20"/>
              </w:rPr>
              <w:t>)</w:t>
            </w:r>
          </w:p>
          <w:p w:rsidR="000C209F" w:rsidRPr="00065B11"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065B11">
              <w:rPr>
                <w:rFonts w:ascii="Arial" w:hAnsi="Arial" w:cs="Arial"/>
                <w:sz w:val="36"/>
                <w:szCs w:val="36"/>
                <w:u w:val="single"/>
              </w:rPr>
              <w:t>_</w:t>
            </w:r>
            <w:r w:rsidR="00C47C4A" w:rsidRPr="00065B11">
              <w:rPr>
                <w:rFonts w:ascii="Arial" w:hAnsi="Arial" w:cs="Arial"/>
                <w:sz w:val="36"/>
                <w:szCs w:val="36"/>
              </w:rPr>
              <w:t xml:space="preserve"> </w:t>
            </w:r>
            <w:r w:rsidRPr="00065B11">
              <w:rPr>
                <w:rFonts w:ascii="Arial" w:hAnsi="Arial" w:cs="Arial"/>
                <w:sz w:val="20"/>
                <w:szCs w:val="20"/>
              </w:rPr>
              <w:t>Quarter 2 (April 1 – June 30</w:t>
            </w:r>
            <w:r w:rsidR="002C4321" w:rsidRPr="00065B11">
              <w:rPr>
                <w:rFonts w:ascii="Arial" w:hAnsi="Arial" w:cs="Arial"/>
                <w:sz w:val="20"/>
                <w:szCs w:val="20"/>
              </w:rPr>
              <w:t>, 201</w:t>
            </w:r>
            <w:r w:rsidR="003E4DE4" w:rsidRPr="00065B11">
              <w:rPr>
                <w:rFonts w:ascii="Arial" w:hAnsi="Arial" w:cs="Arial"/>
                <w:sz w:val="20"/>
                <w:szCs w:val="20"/>
              </w:rPr>
              <w:t>4</w:t>
            </w:r>
            <w:r w:rsidRPr="00065B11">
              <w:rPr>
                <w:rFonts w:ascii="Arial" w:hAnsi="Arial" w:cs="Arial"/>
                <w:sz w:val="20"/>
                <w:szCs w:val="20"/>
              </w:rPr>
              <w:t>)</w:t>
            </w:r>
          </w:p>
          <w:p w:rsidR="000C209F" w:rsidRPr="00065B11" w:rsidRDefault="00065B11" w:rsidP="00360664">
            <w:pPr>
              <w:spacing w:after="0" w:line="240" w:lineRule="auto"/>
              <w:ind w:right="-720"/>
              <w:rPr>
                <w:rFonts w:ascii="Arial" w:hAnsi="Arial" w:cs="Arial"/>
                <w:b/>
                <w:sz w:val="20"/>
                <w:szCs w:val="20"/>
              </w:rPr>
            </w:pPr>
            <w:r w:rsidRPr="00065B11">
              <w:rPr>
                <w:rFonts w:ascii="Arial" w:hAnsi="Arial" w:cs="Arial"/>
                <w:b/>
                <w:sz w:val="36"/>
                <w:szCs w:val="36"/>
                <w:u w:val="single"/>
              </w:rPr>
              <w:t>x</w:t>
            </w:r>
            <w:r w:rsidR="001D763A" w:rsidRPr="00065B11">
              <w:rPr>
                <w:rFonts w:ascii="Arial" w:hAnsi="Arial" w:cs="Arial"/>
                <w:b/>
                <w:sz w:val="36"/>
                <w:szCs w:val="36"/>
              </w:rPr>
              <w:t xml:space="preserve"> </w:t>
            </w:r>
            <w:r w:rsidR="000C209F" w:rsidRPr="00065B11">
              <w:rPr>
                <w:rFonts w:ascii="Arial" w:hAnsi="Arial" w:cs="Arial"/>
                <w:b/>
                <w:sz w:val="20"/>
                <w:szCs w:val="20"/>
              </w:rPr>
              <w:t>Quarter 3 (July 1 – September 30</w:t>
            </w:r>
            <w:r w:rsidR="002C4321" w:rsidRPr="00065B11">
              <w:rPr>
                <w:rFonts w:ascii="Arial" w:hAnsi="Arial" w:cs="Arial"/>
                <w:b/>
                <w:sz w:val="20"/>
                <w:szCs w:val="20"/>
              </w:rPr>
              <w:t>, 201</w:t>
            </w:r>
            <w:r w:rsidR="003E4DE4" w:rsidRPr="00065B11">
              <w:rPr>
                <w:rFonts w:ascii="Arial" w:hAnsi="Arial" w:cs="Arial"/>
                <w:b/>
                <w:sz w:val="20"/>
                <w:szCs w:val="20"/>
              </w:rPr>
              <w:t>4</w:t>
            </w:r>
            <w:r w:rsidR="000C209F" w:rsidRPr="00065B11">
              <w:rPr>
                <w:rFonts w:ascii="Arial" w:hAnsi="Arial" w:cs="Arial"/>
                <w:b/>
                <w:sz w:val="20"/>
                <w:szCs w:val="20"/>
              </w:rPr>
              <w:t>)</w:t>
            </w:r>
          </w:p>
          <w:p w:rsidR="000C209F" w:rsidRPr="003E4DE4" w:rsidRDefault="003E4DE4" w:rsidP="003E4DE4">
            <w:pPr>
              <w:spacing w:after="0" w:line="240" w:lineRule="auto"/>
              <w:ind w:right="-720"/>
              <w:rPr>
                <w:rFonts w:ascii="Arial" w:hAnsi="Arial" w:cs="Arial"/>
                <w:sz w:val="20"/>
                <w:szCs w:val="20"/>
              </w:rPr>
            </w:pPr>
            <w:r w:rsidRPr="00C26570">
              <w:rPr>
                <w:rFonts w:ascii="Arial" w:hAnsi="Arial" w:cs="Arial"/>
                <w:sz w:val="36"/>
                <w:szCs w:val="36"/>
              </w:rPr>
              <w:t>_</w:t>
            </w:r>
            <w:r w:rsidR="00532264" w:rsidRPr="003E4DE4">
              <w:rPr>
                <w:rFonts w:ascii="Arial" w:hAnsi="Arial" w:cs="Arial"/>
                <w:sz w:val="36"/>
                <w:szCs w:val="36"/>
              </w:rPr>
              <w:t xml:space="preserve"> </w:t>
            </w:r>
            <w:r w:rsidR="000C209F" w:rsidRPr="003E4DE4">
              <w:rPr>
                <w:rFonts w:ascii="Arial" w:hAnsi="Arial" w:cs="Arial"/>
                <w:sz w:val="20"/>
                <w:szCs w:val="20"/>
              </w:rPr>
              <w:t xml:space="preserve">Quarter </w:t>
            </w:r>
            <w:r w:rsidR="005C75FE" w:rsidRPr="003E4DE4">
              <w:rPr>
                <w:rFonts w:ascii="Arial" w:hAnsi="Arial" w:cs="Arial"/>
                <w:sz w:val="20"/>
                <w:szCs w:val="20"/>
              </w:rPr>
              <w:t>4 (October 1 – December 31</w:t>
            </w:r>
            <w:r w:rsidR="002C4321" w:rsidRPr="003E4DE4">
              <w:rPr>
                <w:rFonts w:ascii="Arial" w:hAnsi="Arial" w:cs="Arial"/>
                <w:sz w:val="20"/>
                <w:szCs w:val="20"/>
              </w:rPr>
              <w:t>, 201</w:t>
            </w:r>
            <w:r w:rsidRPr="003E4DE4">
              <w:rPr>
                <w:rFonts w:ascii="Arial" w:hAnsi="Arial" w:cs="Arial"/>
                <w:sz w:val="20"/>
                <w:szCs w:val="20"/>
              </w:rPr>
              <w:t>4</w:t>
            </w:r>
            <w:r w:rsidR="000C209F" w:rsidRPr="003E4DE4">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845B74">
            <w:pPr>
              <w:spacing w:after="0" w:line="240" w:lineRule="auto"/>
              <w:ind w:right="-108"/>
              <w:jc w:val="center"/>
              <w:rPr>
                <w:rFonts w:ascii="Arial" w:hAnsi="Arial" w:cs="Arial"/>
                <w:sz w:val="20"/>
                <w:szCs w:val="20"/>
              </w:rPr>
            </w:pPr>
            <w:r w:rsidRPr="00360664">
              <w:rPr>
                <w:rFonts w:ascii="Arial" w:hAnsi="Arial" w:cs="Arial"/>
                <w:sz w:val="20"/>
                <w:szCs w:val="20"/>
              </w:rPr>
              <w:t>$</w:t>
            </w:r>
            <w:r>
              <w:rPr>
                <w:rFonts w:ascii="Arial" w:hAnsi="Arial" w:cs="Arial"/>
                <w:sz w:val="20"/>
                <w:szCs w:val="20"/>
              </w:rPr>
              <w:t>88,0</w:t>
            </w:r>
            <w:r w:rsidRPr="00360664">
              <w:rPr>
                <w:rFonts w:ascii="Arial" w:hAnsi="Arial" w:cs="Arial"/>
                <w:sz w:val="20"/>
                <w:szCs w:val="20"/>
              </w:rPr>
              <w:t>00.00</w:t>
            </w:r>
            <w:r>
              <w:rPr>
                <w:rFonts w:ascii="Arial" w:hAnsi="Arial" w:cs="Arial"/>
                <w:sz w:val="20"/>
                <w:szCs w:val="20"/>
              </w:rPr>
              <w:t xml:space="preserve"> (current contract)</w:t>
            </w:r>
          </w:p>
          <w:p w:rsidR="00845B74" w:rsidRPr="00360664" w:rsidRDefault="00845B74" w:rsidP="007449D3">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48</w:t>
            </w:r>
            <w:r>
              <w:rPr>
                <w:rFonts w:ascii="Arial" w:hAnsi="Arial" w:cs="Arial"/>
                <w:sz w:val="20"/>
                <w:szCs w:val="20"/>
              </w:rPr>
              <w:t>,000.00 (total committed)</w:t>
            </w:r>
          </w:p>
        </w:tc>
        <w:tc>
          <w:tcPr>
            <w:tcW w:w="3330" w:type="dxa"/>
            <w:vAlign w:val="center"/>
          </w:tcPr>
          <w:p w:rsidR="000C209F" w:rsidRPr="00360664" w:rsidRDefault="006F1879" w:rsidP="00065B11">
            <w:pPr>
              <w:spacing w:after="0" w:line="240" w:lineRule="auto"/>
              <w:ind w:left="-108" w:right="-108"/>
              <w:jc w:val="center"/>
              <w:rPr>
                <w:rFonts w:ascii="Arial" w:hAnsi="Arial" w:cs="Arial"/>
                <w:sz w:val="20"/>
                <w:szCs w:val="20"/>
              </w:rPr>
            </w:pPr>
            <w:r>
              <w:rPr>
                <w:rFonts w:ascii="Arial" w:hAnsi="Arial" w:cs="Arial"/>
                <w:sz w:val="20"/>
                <w:szCs w:val="20"/>
              </w:rPr>
              <w:t>$</w:t>
            </w:r>
            <w:r w:rsidR="00065B11">
              <w:rPr>
                <w:rFonts w:ascii="Arial" w:hAnsi="Arial" w:cs="Arial"/>
                <w:sz w:val="20"/>
                <w:szCs w:val="20"/>
              </w:rPr>
              <w:t>48</w:t>
            </w:r>
            <w:r w:rsidR="002F66FD">
              <w:rPr>
                <w:rFonts w:ascii="Arial" w:hAnsi="Arial" w:cs="Arial"/>
                <w:sz w:val="20"/>
                <w:szCs w:val="20"/>
              </w:rPr>
              <w:t>,000</w:t>
            </w:r>
          </w:p>
        </w:tc>
        <w:tc>
          <w:tcPr>
            <w:tcW w:w="3420" w:type="dxa"/>
            <w:vAlign w:val="center"/>
          </w:tcPr>
          <w:p w:rsidR="000C209F" w:rsidRPr="00360664" w:rsidRDefault="00065B11" w:rsidP="00360664">
            <w:pPr>
              <w:spacing w:after="0" w:line="240" w:lineRule="auto"/>
              <w:ind w:left="-108" w:right="-108"/>
              <w:jc w:val="center"/>
              <w:rPr>
                <w:rFonts w:ascii="Arial" w:hAnsi="Arial" w:cs="Arial"/>
                <w:sz w:val="20"/>
                <w:szCs w:val="20"/>
              </w:rPr>
            </w:pPr>
            <w:r>
              <w:rPr>
                <w:rFonts w:ascii="Arial" w:hAnsi="Arial" w:cs="Arial"/>
                <w:sz w:val="20"/>
                <w:szCs w:val="20"/>
              </w:rPr>
              <w:t>30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2F66FD" w:rsidP="00360664">
            <w:pPr>
              <w:spacing w:after="0" w:line="240" w:lineRule="auto"/>
              <w:ind w:right="-108"/>
              <w:jc w:val="center"/>
              <w:rPr>
                <w:rFonts w:ascii="Arial" w:hAnsi="Arial" w:cs="Arial"/>
                <w:sz w:val="20"/>
                <w:szCs w:val="20"/>
              </w:rPr>
            </w:pPr>
            <w:r>
              <w:rPr>
                <w:rFonts w:ascii="Arial" w:hAnsi="Arial" w:cs="Arial"/>
                <w:sz w:val="20"/>
                <w:szCs w:val="20"/>
              </w:rPr>
              <w:t>15%</w:t>
            </w:r>
          </w:p>
        </w:tc>
        <w:tc>
          <w:tcPr>
            <w:tcW w:w="3330" w:type="dxa"/>
          </w:tcPr>
          <w:p w:rsidR="000C209F" w:rsidRPr="00360664" w:rsidRDefault="006F1879" w:rsidP="002F66FD">
            <w:pPr>
              <w:spacing w:after="0" w:line="240" w:lineRule="auto"/>
              <w:ind w:right="-108"/>
              <w:jc w:val="center"/>
              <w:rPr>
                <w:rFonts w:ascii="Arial" w:hAnsi="Arial" w:cs="Arial"/>
                <w:sz w:val="20"/>
                <w:szCs w:val="20"/>
              </w:rPr>
            </w:pPr>
            <w:r>
              <w:rPr>
                <w:rFonts w:ascii="Arial" w:hAnsi="Arial" w:cs="Arial"/>
                <w:sz w:val="20"/>
                <w:szCs w:val="20"/>
              </w:rPr>
              <w:t>$</w:t>
            </w:r>
            <w:r w:rsidR="002F66FD">
              <w:rPr>
                <w:rFonts w:ascii="Arial" w:hAnsi="Arial" w:cs="Arial"/>
                <w:sz w:val="20"/>
                <w:szCs w:val="20"/>
              </w:rPr>
              <w:t>24,000</w:t>
            </w:r>
          </w:p>
        </w:tc>
        <w:tc>
          <w:tcPr>
            <w:tcW w:w="3420" w:type="dxa"/>
          </w:tcPr>
          <w:p w:rsidR="000C209F" w:rsidRPr="00360664" w:rsidRDefault="002F66FD" w:rsidP="006D03A4">
            <w:pPr>
              <w:spacing w:after="0" w:line="240" w:lineRule="auto"/>
              <w:ind w:left="-108" w:right="-108"/>
              <w:jc w:val="center"/>
              <w:rPr>
                <w:rFonts w:ascii="Arial" w:hAnsi="Arial" w:cs="Arial"/>
                <w:sz w:val="20"/>
                <w:szCs w:val="20"/>
              </w:rPr>
            </w:pPr>
            <w:r>
              <w:rPr>
                <w:rFonts w:ascii="Arial" w:hAnsi="Arial" w:cs="Arial"/>
                <w:sz w:val="20"/>
                <w:szCs w:val="20"/>
              </w:rPr>
              <w:t>1</w:t>
            </w:r>
            <w:r w:rsidR="006D03A4">
              <w:rPr>
                <w:rFonts w:ascii="Arial" w:hAnsi="Arial" w:cs="Arial"/>
                <w:sz w:val="20"/>
                <w:szCs w:val="20"/>
              </w:rPr>
              <w:t>8</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0C65A5">
              <w:rPr>
                <w:rFonts w:ascii="Arial" w:hAnsi="Arial" w:cs="Arial"/>
                <w:sz w:val="20"/>
                <w:szCs w:val="20"/>
              </w:rPr>
              <w:t>Newmark</w:t>
            </w:r>
            <w:proofErr w:type="spellEnd"/>
            <w:r w:rsidRPr="000C65A5">
              <w:rPr>
                <w:rFonts w:ascii="Arial" w:hAnsi="Arial" w:cs="Arial"/>
                <w:sz w:val="20"/>
                <w:szCs w:val="20"/>
              </w:rPr>
              <w:t xml:space="preserve">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4. Derivation and validation of simplified </w:t>
            </w:r>
            <w:proofErr w:type="spellStart"/>
            <w:r w:rsidRPr="004F586D">
              <w:rPr>
                <w:rFonts w:ascii="Arial" w:hAnsi="Arial" w:cs="Arial"/>
                <w:sz w:val="20"/>
                <w:szCs w:val="20"/>
              </w:rPr>
              <w:t>Newmark</w:t>
            </w:r>
            <w:proofErr w:type="spellEnd"/>
            <w:r w:rsidRPr="004F586D">
              <w:rPr>
                <w:rFonts w:ascii="Arial" w:hAnsi="Arial" w:cs="Arial"/>
                <w:sz w:val="20"/>
                <w:szCs w:val="20"/>
              </w:rPr>
              <w:t xml:space="preserve"> seismic slope displacement models (Year 2). </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5. Assessment of grid spacing considerations in various seismic environments for map development (Years 1 &amp; 2). </w:t>
            </w:r>
            <w:r w:rsidR="00A2219C">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6. Development of liquefaction parameter maps at targeted return periods in GIS file format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7. Comparison of simplified, conventional, and deterministic analysis approaches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8. Development of a simplified design procedure and an analysis spreadsheet that incorporates both performance-based and conventional methods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9. Preparation of the annual and final reports (Years 1 &amp; 2).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3D6A0B">
              <w:rPr>
                <w:rFonts w:ascii="Arial" w:hAnsi="Arial" w:cs="Arial"/>
                <w:sz w:val="20"/>
                <w:szCs w:val="20"/>
              </w:rPr>
              <w:t xml:space="preserve">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CA1FBA" w:rsidRDefault="00CA1FBA"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Default="000C209F" w:rsidP="00360664">
            <w:pPr>
              <w:spacing w:after="0" w:line="240" w:lineRule="auto"/>
              <w:rPr>
                <w:rFonts w:ascii="Arial" w:hAnsi="Arial" w:cs="Arial"/>
                <w:sz w:val="20"/>
                <w:szCs w:val="20"/>
              </w:rPr>
            </w:pPr>
          </w:p>
          <w:p w:rsidR="00321691" w:rsidRPr="00360664" w:rsidRDefault="00321691" w:rsidP="00360664">
            <w:pPr>
              <w:spacing w:after="0" w:line="240" w:lineRule="auto"/>
              <w:rPr>
                <w:rFonts w:ascii="Arial" w:hAnsi="Arial" w:cs="Arial"/>
                <w:sz w:val="20"/>
                <w:szCs w:val="20"/>
              </w:rPr>
            </w:pP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 –</w:t>
            </w:r>
            <w:r>
              <w:rPr>
                <w:rFonts w:ascii="Arial" w:hAnsi="Arial" w:cs="Arial"/>
                <w:sz w:val="20"/>
                <w:szCs w:val="20"/>
              </w:rPr>
              <w:t xml:space="preserve"> </w:t>
            </w:r>
            <w:r w:rsidR="00A4439C">
              <w:rPr>
                <w:rFonts w:ascii="Arial" w:hAnsi="Arial" w:cs="Arial"/>
                <w:sz w:val="20"/>
                <w:szCs w:val="20"/>
              </w:rPr>
              <w:t>100</w:t>
            </w:r>
            <w:r>
              <w:rPr>
                <w:rFonts w:ascii="Arial" w:hAnsi="Arial" w:cs="Arial"/>
                <w:sz w:val="20"/>
                <w:szCs w:val="20"/>
              </w:rPr>
              <w:t>% complete.</w:t>
            </w:r>
          </w:p>
          <w:p w:rsidR="00EC4414"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2 – </w:t>
            </w:r>
            <w:r w:rsidR="00A4439C">
              <w:rPr>
                <w:rFonts w:ascii="Arial" w:hAnsi="Arial" w:cs="Arial"/>
                <w:sz w:val="20"/>
                <w:szCs w:val="20"/>
              </w:rPr>
              <w:t>100</w:t>
            </w:r>
            <w:r>
              <w:rPr>
                <w:rFonts w:ascii="Arial" w:hAnsi="Arial" w:cs="Arial"/>
                <w:sz w:val="20"/>
                <w:szCs w:val="20"/>
              </w:rPr>
              <w:t>% complete.</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3 – Not funded currently.</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4 – </w:t>
            </w:r>
            <w:r>
              <w:rPr>
                <w:rFonts w:ascii="Arial" w:hAnsi="Arial" w:cs="Arial"/>
                <w:sz w:val="20"/>
                <w:szCs w:val="20"/>
              </w:rPr>
              <w:t>Not funded currently</w:t>
            </w:r>
            <w:r w:rsidRPr="00A4212B">
              <w:rPr>
                <w:rFonts w:ascii="Arial" w:hAnsi="Arial" w:cs="Arial"/>
                <w:sz w:val="20"/>
                <w:szCs w:val="20"/>
              </w:rPr>
              <w:t>.</w:t>
            </w:r>
          </w:p>
          <w:p w:rsidR="00AE2045"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5 – </w:t>
            </w:r>
            <w:r w:rsidR="00980874">
              <w:rPr>
                <w:rFonts w:ascii="Arial" w:hAnsi="Arial" w:cs="Arial"/>
                <w:sz w:val="20"/>
                <w:szCs w:val="20"/>
              </w:rPr>
              <w:t>5</w:t>
            </w:r>
            <w:r w:rsidR="00A4439C">
              <w:rPr>
                <w:rFonts w:ascii="Arial" w:hAnsi="Arial" w:cs="Arial"/>
                <w:sz w:val="20"/>
                <w:szCs w:val="20"/>
              </w:rPr>
              <w:t xml:space="preserve">0% complete.  BYU </w:t>
            </w:r>
            <w:r w:rsidR="00AE2045">
              <w:rPr>
                <w:rFonts w:ascii="Arial" w:hAnsi="Arial" w:cs="Arial"/>
                <w:sz w:val="20"/>
                <w:szCs w:val="20"/>
              </w:rPr>
              <w:t>assessed</w:t>
            </w:r>
            <w:r w:rsidR="00AE2045" w:rsidRPr="00AE2045">
              <w:rPr>
                <w:rFonts w:ascii="Arial" w:hAnsi="Arial" w:cs="Arial"/>
                <w:sz w:val="20"/>
                <w:szCs w:val="20"/>
              </w:rPr>
              <w:t xml:space="preserve"> grid spacing for development</w:t>
            </w:r>
            <w:r w:rsidR="00AE2045">
              <w:rPr>
                <w:rFonts w:ascii="Arial" w:hAnsi="Arial" w:cs="Arial"/>
                <w:sz w:val="20"/>
                <w:szCs w:val="20"/>
              </w:rPr>
              <w:t xml:space="preserve"> of the first set of liquefaction parameter maps.</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6 – </w:t>
            </w:r>
            <w:r w:rsidR="00980874">
              <w:rPr>
                <w:rFonts w:ascii="Arial" w:hAnsi="Arial" w:cs="Arial"/>
                <w:sz w:val="20"/>
                <w:szCs w:val="20"/>
              </w:rPr>
              <w:t>5</w:t>
            </w:r>
            <w:r w:rsidR="00A4439C">
              <w:rPr>
                <w:rFonts w:ascii="Arial" w:hAnsi="Arial" w:cs="Arial"/>
                <w:sz w:val="20"/>
                <w:szCs w:val="20"/>
              </w:rPr>
              <w:t xml:space="preserve">0% complete.  BYU </w:t>
            </w:r>
            <w:r w:rsidR="00AE2045" w:rsidRPr="00AE2045">
              <w:rPr>
                <w:rFonts w:ascii="Arial" w:hAnsi="Arial" w:cs="Arial"/>
                <w:sz w:val="20"/>
                <w:szCs w:val="20"/>
              </w:rPr>
              <w:t>developed</w:t>
            </w:r>
            <w:r w:rsidR="00AE2045">
              <w:rPr>
                <w:rFonts w:ascii="Arial" w:hAnsi="Arial" w:cs="Arial"/>
                <w:sz w:val="20"/>
                <w:szCs w:val="20"/>
              </w:rPr>
              <w:t xml:space="preserve"> </w:t>
            </w:r>
            <w:r w:rsidR="00AE2045" w:rsidRPr="00AE2045">
              <w:rPr>
                <w:rFonts w:ascii="Arial" w:hAnsi="Arial" w:cs="Arial"/>
                <w:sz w:val="20"/>
                <w:szCs w:val="20"/>
              </w:rPr>
              <w:t>liquefaction parameter maps</w:t>
            </w:r>
            <w:r w:rsidR="00AE2045">
              <w:rPr>
                <w:rFonts w:ascii="Arial" w:hAnsi="Arial" w:cs="Arial"/>
                <w:sz w:val="20"/>
                <w:szCs w:val="20"/>
              </w:rPr>
              <w:t xml:space="preserve"> </w:t>
            </w:r>
            <w:r w:rsidR="00AE2045" w:rsidRPr="00AE2045">
              <w:rPr>
                <w:rFonts w:ascii="Arial" w:hAnsi="Arial" w:cs="Arial"/>
                <w:sz w:val="20"/>
                <w:szCs w:val="20"/>
              </w:rPr>
              <w:t xml:space="preserve">for </w:t>
            </w:r>
            <w:r w:rsidR="00AE2045">
              <w:rPr>
                <w:rFonts w:ascii="Arial" w:hAnsi="Arial" w:cs="Arial"/>
                <w:sz w:val="20"/>
                <w:szCs w:val="20"/>
              </w:rPr>
              <w:t xml:space="preserve">liquefaction triggering and </w:t>
            </w:r>
            <w:r w:rsidR="00AE2045" w:rsidRPr="00AE2045">
              <w:rPr>
                <w:rFonts w:ascii="Arial" w:hAnsi="Arial" w:cs="Arial"/>
                <w:sz w:val="20"/>
                <w:szCs w:val="20"/>
              </w:rPr>
              <w:t>lateral spread</w:t>
            </w:r>
            <w:r w:rsidR="00AE2045">
              <w:rPr>
                <w:rFonts w:ascii="Arial" w:hAnsi="Arial" w:cs="Arial"/>
                <w:sz w:val="20"/>
                <w:szCs w:val="20"/>
              </w:rPr>
              <w:t xml:space="preserve"> </w:t>
            </w:r>
            <w:r w:rsidR="00AE2045" w:rsidRPr="00AE2045">
              <w:rPr>
                <w:rFonts w:ascii="Arial" w:hAnsi="Arial" w:cs="Arial"/>
                <w:sz w:val="20"/>
                <w:szCs w:val="20"/>
              </w:rPr>
              <w:t>displacement</w:t>
            </w:r>
            <w:r w:rsidR="00AE2045">
              <w:rPr>
                <w:rFonts w:ascii="Arial" w:hAnsi="Arial" w:cs="Arial"/>
                <w:sz w:val="20"/>
                <w:szCs w:val="20"/>
              </w:rPr>
              <w:t xml:space="preserve"> for the partner states.  </w:t>
            </w:r>
            <w:r w:rsidR="00FF272F">
              <w:rPr>
                <w:rFonts w:ascii="Arial" w:hAnsi="Arial" w:cs="Arial"/>
                <w:sz w:val="20"/>
                <w:szCs w:val="20"/>
              </w:rPr>
              <w:t xml:space="preserve">The TAC quarterly update report for initial portions of Tasks 5 and 6 </w:t>
            </w:r>
            <w:r w:rsidR="00980874">
              <w:rPr>
                <w:rFonts w:ascii="Arial" w:hAnsi="Arial" w:cs="Arial"/>
                <w:sz w:val="20"/>
                <w:szCs w:val="20"/>
              </w:rPr>
              <w:t xml:space="preserve">was </w:t>
            </w:r>
            <w:r w:rsidR="00FF272F">
              <w:rPr>
                <w:rFonts w:ascii="Arial" w:hAnsi="Arial" w:cs="Arial"/>
                <w:sz w:val="20"/>
                <w:szCs w:val="20"/>
              </w:rPr>
              <w:t>prepared and shared with the TAC, along with liquefaction parameter maps.</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7 – </w:t>
            </w:r>
            <w:r w:rsidR="00A17DA3">
              <w:rPr>
                <w:rFonts w:ascii="Arial" w:hAnsi="Arial" w:cs="Arial"/>
                <w:sz w:val="20"/>
                <w:szCs w:val="20"/>
              </w:rPr>
              <w:t>30% complete.  BYU began work on this task.</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8 – </w:t>
            </w:r>
            <w:r w:rsidR="00A17DA3">
              <w:rPr>
                <w:rFonts w:ascii="Arial" w:hAnsi="Arial" w:cs="Arial"/>
                <w:sz w:val="20"/>
                <w:szCs w:val="20"/>
              </w:rPr>
              <w:t>30% complete.  BYU began work on this task.</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Task 9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10 – </w:t>
            </w:r>
            <w:r w:rsidR="001A1210">
              <w:rPr>
                <w:rFonts w:ascii="Arial" w:hAnsi="Arial" w:cs="Arial"/>
                <w:sz w:val="20"/>
                <w:szCs w:val="20"/>
              </w:rPr>
              <w:t xml:space="preserve">30% complete.  Two journal manuscripts are in preparation for submission to the ASCE Journal of Geotechnical and </w:t>
            </w:r>
            <w:proofErr w:type="spellStart"/>
            <w:r w:rsidR="001A1210">
              <w:rPr>
                <w:rFonts w:ascii="Arial" w:hAnsi="Arial" w:cs="Arial"/>
                <w:sz w:val="20"/>
                <w:szCs w:val="20"/>
              </w:rPr>
              <w:t>Geoenvironmental</w:t>
            </w:r>
            <w:proofErr w:type="spellEnd"/>
            <w:r w:rsidR="001A1210">
              <w:rPr>
                <w:rFonts w:ascii="Arial" w:hAnsi="Arial" w:cs="Arial"/>
                <w:sz w:val="20"/>
                <w:szCs w:val="20"/>
              </w:rPr>
              <w:t xml:space="preserve"> Engineering</w:t>
            </w:r>
            <w:r w:rsidR="007D2BB8">
              <w:rPr>
                <w:rFonts w:ascii="Arial" w:hAnsi="Arial" w:cs="Arial"/>
                <w:sz w:val="20"/>
                <w:szCs w:val="20"/>
              </w:rPr>
              <w: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11 – </w:t>
            </w:r>
            <w:r w:rsidR="00FD2F4A">
              <w:rPr>
                <w:rFonts w:ascii="Arial" w:hAnsi="Arial" w:cs="Arial"/>
                <w:sz w:val="20"/>
                <w:szCs w:val="20"/>
              </w:rPr>
              <w:t>1</w:t>
            </w:r>
            <w:r w:rsidR="008E6F0C">
              <w:rPr>
                <w:rFonts w:ascii="Arial" w:hAnsi="Arial" w:cs="Arial"/>
                <w:sz w:val="20"/>
                <w:szCs w:val="20"/>
              </w:rPr>
              <w:t>5</w:t>
            </w:r>
            <w:r w:rsidRPr="00A4212B">
              <w:rPr>
                <w:rFonts w:ascii="Arial" w:hAnsi="Arial" w:cs="Arial"/>
                <w:sz w:val="20"/>
                <w:szCs w:val="20"/>
              </w:rPr>
              <w:t>% complete.</w:t>
            </w:r>
            <w:r w:rsidR="008E6F0C">
              <w:rPr>
                <w:rFonts w:ascii="Arial" w:hAnsi="Arial" w:cs="Arial"/>
                <w:sz w:val="20"/>
                <w:szCs w:val="20"/>
              </w:rPr>
              <w:t xml:space="preserve">  Preparations were made for an October TAC web-conference to review progress.</w:t>
            </w:r>
          </w:p>
          <w:p w:rsidR="007D27BC" w:rsidRDefault="00A4212B" w:rsidP="00A4212B">
            <w:pPr>
              <w:spacing w:after="0" w:line="240" w:lineRule="auto"/>
              <w:rPr>
                <w:rFonts w:ascii="Arial" w:hAnsi="Arial" w:cs="Arial"/>
                <w:sz w:val="20"/>
                <w:szCs w:val="20"/>
              </w:rPr>
            </w:pPr>
            <w:r w:rsidRPr="00A4212B">
              <w:rPr>
                <w:rFonts w:ascii="Arial" w:hAnsi="Arial" w:cs="Arial"/>
                <w:sz w:val="20"/>
                <w:szCs w:val="20"/>
              </w:rPr>
              <w:t xml:space="preserve">Contract – </w:t>
            </w:r>
            <w:r w:rsidR="00332429">
              <w:rPr>
                <w:rFonts w:ascii="Arial" w:hAnsi="Arial" w:cs="Arial"/>
                <w:sz w:val="20"/>
                <w:szCs w:val="20"/>
              </w:rPr>
              <w:t>No</w:t>
            </w:r>
            <w:r w:rsidR="003C239E">
              <w:rPr>
                <w:rFonts w:ascii="Arial" w:hAnsi="Arial" w:cs="Arial"/>
                <w:sz w:val="20"/>
                <w:szCs w:val="20"/>
              </w:rPr>
              <w:t xml:space="preserve"> changes were made</w:t>
            </w:r>
            <w:r w:rsidR="00332429">
              <w:rPr>
                <w:rFonts w:ascii="Arial" w:hAnsi="Arial" w:cs="Arial"/>
                <w:sz w:val="20"/>
                <w:szCs w:val="20"/>
              </w:rPr>
              <w:t>.</w:t>
            </w:r>
          </w:p>
          <w:p w:rsidR="009E245A" w:rsidRPr="00360664"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321691" w:rsidRPr="00360664" w:rsidRDefault="00321691" w:rsidP="00360664">
            <w:pPr>
              <w:spacing w:after="0" w:line="240" w:lineRule="auto"/>
              <w:rPr>
                <w:rFonts w:ascii="Arial" w:hAnsi="Arial" w:cs="Arial"/>
                <w:sz w:val="20"/>
                <w:szCs w:val="20"/>
              </w:rPr>
            </w:pPr>
          </w:p>
          <w:p w:rsidR="002F44FD" w:rsidRDefault="00B773E9" w:rsidP="00B773E9">
            <w:pPr>
              <w:spacing w:after="0" w:line="240" w:lineRule="auto"/>
              <w:rPr>
                <w:rFonts w:ascii="Arial" w:hAnsi="Arial" w:cs="Arial"/>
                <w:sz w:val="20"/>
                <w:szCs w:val="20"/>
              </w:rPr>
            </w:pPr>
            <w:r w:rsidRPr="00A4212B">
              <w:rPr>
                <w:rFonts w:ascii="Arial" w:hAnsi="Arial" w:cs="Arial"/>
                <w:sz w:val="20"/>
                <w:szCs w:val="20"/>
              </w:rPr>
              <w:t>Task 1 –</w:t>
            </w:r>
            <w:r w:rsidR="00F44489">
              <w:rPr>
                <w:rFonts w:ascii="Arial" w:hAnsi="Arial" w:cs="Arial"/>
                <w:sz w:val="20"/>
                <w:szCs w:val="20"/>
              </w:rPr>
              <w:t xml:space="preserve"> C</w:t>
            </w:r>
            <w:r w:rsidR="00463EA1">
              <w:rPr>
                <w:rFonts w:ascii="Arial" w:hAnsi="Arial" w:cs="Arial"/>
                <w:sz w:val="20"/>
                <w:szCs w:val="20"/>
              </w:rPr>
              <w:t>ompleted</w:t>
            </w:r>
            <w:r w:rsidR="00BC4290">
              <w:rPr>
                <w:rFonts w:ascii="Arial" w:hAnsi="Arial" w:cs="Arial"/>
                <w:sz w:val="20"/>
                <w:szCs w:val="20"/>
              </w:rPr>
              <w:t>.</w:t>
            </w:r>
          </w:p>
          <w:p w:rsidR="00EC4414" w:rsidRDefault="00B773E9" w:rsidP="00B773E9">
            <w:pPr>
              <w:spacing w:after="0" w:line="240" w:lineRule="auto"/>
              <w:rPr>
                <w:rFonts w:ascii="Arial" w:hAnsi="Arial" w:cs="Arial"/>
                <w:sz w:val="20"/>
                <w:szCs w:val="20"/>
              </w:rPr>
            </w:pPr>
            <w:r w:rsidRPr="00A4212B">
              <w:rPr>
                <w:rFonts w:ascii="Arial" w:hAnsi="Arial" w:cs="Arial"/>
                <w:sz w:val="20"/>
                <w:szCs w:val="20"/>
              </w:rPr>
              <w:t>Task 2 –</w:t>
            </w:r>
            <w:r w:rsidR="00F44489">
              <w:rPr>
                <w:rFonts w:ascii="Arial" w:hAnsi="Arial" w:cs="Arial"/>
                <w:sz w:val="20"/>
                <w:szCs w:val="20"/>
              </w:rPr>
              <w:t xml:space="preserve"> </w:t>
            </w:r>
            <w:r w:rsidR="005C2C1F">
              <w:rPr>
                <w:rFonts w:ascii="Arial" w:hAnsi="Arial" w:cs="Arial"/>
                <w:sz w:val="20"/>
                <w:szCs w:val="20"/>
              </w:rPr>
              <w:t>C</w:t>
            </w:r>
            <w:r w:rsidR="00EC4414">
              <w:rPr>
                <w:rFonts w:ascii="Arial" w:hAnsi="Arial" w:cs="Arial"/>
                <w:sz w:val="20"/>
                <w:szCs w:val="20"/>
              </w:rPr>
              <w:t>omplete</w:t>
            </w:r>
            <w:r w:rsidR="005C2C1F">
              <w:rPr>
                <w:rFonts w:ascii="Arial" w:hAnsi="Arial" w:cs="Arial"/>
                <w:sz w:val="20"/>
                <w:szCs w:val="20"/>
              </w:rPr>
              <w:t>d</w:t>
            </w:r>
            <w:r w:rsidR="00EC4414">
              <w:rPr>
                <w:rFonts w:ascii="Arial" w:hAnsi="Arial" w:cs="Arial"/>
                <w:sz w:val="20"/>
                <w:szCs w:val="20"/>
              </w:rPr>
              <w:t xml:space="preserve">.  An addendum to the </w:t>
            </w:r>
            <w:r w:rsidR="00EC4414" w:rsidRPr="00EC4414">
              <w:rPr>
                <w:rFonts w:ascii="Arial" w:hAnsi="Arial" w:cs="Arial"/>
                <w:sz w:val="20"/>
                <w:szCs w:val="20"/>
              </w:rPr>
              <w:t xml:space="preserve">TAC quarterly update report for Tasks 1 and 2 </w:t>
            </w:r>
            <w:r w:rsidR="00EC4414">
              <w:rPr>
                <w:rFonts w:ascii="Arial" w:hAnsi="Arial" w:cs="Arial"/>
                <w:sz w:val="20"/>
                <w:szCs w:val="20"/>
              </w:rPr>
              <w:t xml:space="preserve">will be prepared </w:t>
            </w:r>
            <w:r w:rsidR="00EC4414" w:rsidRPr="00EC4414">
              <w:rPr>
                <w:rFonts w:ascii="Arial" w:hAnsi="Arial" w:cs="Arial"/>
                <w:sz w:val="20"/>
                <w:szCs w:val="20"/>
              </w:rPr>
              <w:t>and shared with the TAC.</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3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4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5 – </w:t>
            </w:r>
            <w:r w:rsidR="007B7989">
              <w:rPr>
                <w:rFonts w:ascii="Arial" w:hAnsi="Arial" w:cs="Arial"/>
                <w:sz w:val="20"/>
                <w:szCs w:val="20"/>
              </w:rPr>
              <w:t>See Task 6.</w:t>
            </w:r>
          </w:p>
          <w:p w:rsidR="00A21B03" w:rsidRPr="00A4212B" w:rsidRDefault="00B773E9" w:rsidP="00A21B03">
            <w:pPr>
              <w:spacing w:after="0" w:line="240" w:lineRule="auto"/>
              <w:rPr>
                <w:rFonts w:ascii="Arial" w:hAnsi="Arial" w:cs="Arial"/>
                <w:sz w:val="20"/>
                <w:szCs w:val="20"/>
              </w:rPr>
            </w:pPr>
            <w:r w:rsidRPr="00A4212B">
              <w:rPr>
                <w:rFonts w:ascii="Arial" w:hAnsi="Arial" w:cs="Arial"/>
                <w:sz w:val="20"/>
                <w:szCs w:val="20"/>
              </w:rPr>
              <w:t xml:space="preserve">Task 6 – </w:t>
            </w:r>
            <w:r w:rsidR="007B7989" w:rsidRPr="007B7989">
              <w:rPr>
                <w:rFonts w:ascii="Arial" w:hAnsi="Arial" w:cs="Arial"/>
                <w:sz w:val="20"/>
                <w:szCs w:val="20"/>
              </w:rPr>
              <w:t>The TAC quarterly update report</w:t>
            </w:r>
            <w:r w:rsidR="007B7989">
              <w:rPr>
                <w:rFonts w:ascii="Arial" w:hAnsi="Arial" w:cs="Arial"/>
                <w:sz w:val="20"/>
                <w:szCs w:val="20"/>
              </w:rPr>
              <w:t xml:space="preserve"> and maps</w:t>
            </w:r>
            <w:r w:rsidR="007B7989" w:rsidRPr="007B7989">
              <w:rPr>
                <w:rFonts w:ascii="Arial" w:hAnsi="Arial" w:cs="Arial"/>
                <w:sz w:val="20"/>
                <w:szCs w:val="20"/>
              </w:rPr>
              <w:t xml:space="preserve"> for initial portions of Tasks 5 and 6</w:t>
            </w:r>
            <w:r w:rsidR="007B7989">
              <w:rPr>
                <w:rFonts w:ascii="Arial" w:hAnsi="Arial" w:cs="Arial"/>
                <w:sz w:val="20"/>
                <w:szCs w:val="20"/>
              </w:rPr>
              <w:t xml:space="preserve"> will be updated based on TAC</w:t>
            </w:r>
            <w:r w:rsidR="00774CA4">
              <w:rPr>
                <w:rFonts w:ascii="Arial" w:hAnsi="Arial" w:cs="Arial"/>
                <w:sz w:val="20"/>
                <w:szCs w:val="20"/>
              </w:rPr>
              <w:t xml:space="preserve"> review comments, and then shared with the TAC.</w:t>
            </w:r>
          </w:p>
          <w:p w:rsidR="007B5208"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7 – </w:t>
            </w:r>
            <w:r w:rsidR="00EF480F">
              <w:rPr>
                <w:rFonts w:ascii="Arial" w:hAnsi="Arial" w:cs="Arial"/>
                <w:sz w:val="20"/>
                <w:szCs w:val="20"/>
              </w:rPr>
              <w:t>BYU will continue funded work on this task.</w:t>
            </w:r>
          </w:p>
          <w:p w:rsidR="005A0EC0"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8 – </w:t>
            </w:r>
            <w:r w:rsidR="00EF480F">
              <w:rPr>
                <w:rFonts w:ascii="Arial" w:hAnsi="Arial" w:cs="Arial"/>
                <w:sz w:val="20"/>
                <w:szCs w:val="20"/>
              </w:rPr>
              <w:t>BYU will continue funded work on this task.</w:t>
            </w:r>
            <w:r w:rsidR="005A0EC0">
              <w:rPr>
                <w:rFonts w:ascii="Arial" w:hAnsi="Arial" w:cs="Arial"/>
                <w:sz w:val="20"/>
                <w:szCs w:val="20"/>
              </w:rPr>
              <w:t xml:space="preserve">  </w:t>
            </w:r>
            <w:r w:rsidR="005A0EC0" w:rsidRPr="005A0EC0">
              <w:rPr>
                <w:rFonts w:ascii="Arial" w:hAnsi="Arial" w:cs="Arial"/>
                <w:sz w:val="20"/>
                <w:szCs w:val="20"/>
              </w:rPr>
              <w:t xml:space="preserve">The TAC quarterly update report for initial portions of Tasks </w:t>
            </w:r>
            <w:r w:rsidR="005A0EC0">
              <w:rPr>
                <w:rFonts w:ascii="Arial" w:hAnsi="Arial" w:cs="Arial"/>
                <w:sz w:val="20"/>
                <w:szCs w:val="20"/>
              </w:rPr>
              <w:t>7</w:t>
            </w:r>
            <w:r w:rsidR="007B5208">
              <w:rPr>
                <w:rFonts w:ascii="Arial" w:hAnsi="Arial" w:cs="Arial"/>
                <w:sz w:val="20"/>
                <w:szCs w:val="20"/>
              </w:rPr>
              <w:t xml:space="preserve"> and </w:t>
            </w:r>
            <w:r w:rsidR="005A0EC0">
              <w:rPr>
                <w:rFonts w:ascii="Arial" w:hAnsi="Arial" w:cs="Arial"/>
                <w:sz w:val="20"/>
                <w:szCs w:val="20"/>
              </w:rPr>
              <w:t>8</w:t>
            </w:r>
            <w:r w:rsidR="005A0EC0" w:rsidRPr="005A0EC0">
              <w:rPr>
                <w:rFonts w:ascii="Arial" w:hAnsi="Arial" w:cs="Arial"/>
                <w:sz w:val="20"/>
                <w:szCs w:val="20"/>
              </w:rPr>
              <w:t xml:space="preserve"> will be prepared and shared with the TAC, along with </w:t>
            </w:r>
            <w:r w:rsidR="009B1790">
              <w:rPr>
                <w:rFonts w:ascii="Arial" w:hAnsi="Arial" w:cs="Arial"/>
                <w:sz w:val="20"/>
                <w:szCs w:val="20"/>
              </w:rPr>
              <w:t xml:space="preserve">the </w:t>
            </w:r>
            <w:r w:rsidR="009B1790" w:rsidRPr="009B1790">
              <w:rPr>
                <w:rFonts w:ascii="Arial" w:hAnsi="Arial" w:cs="Arial"/>
                <w:sz w:val="20"/>
                <w:szCs w:val="20"/>
              </w:rPr>
              <w:t>draft analysis spreadsheet</w:t>
            </w:r>
            <w:r w:rsidR="005A0EC0" w:rsidRPr="005A0EC0">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9 – </w:t>
            </w:r>
            <w:r w:rsidR="00587908">
              <w:rPr>
                <w:rFonts w:ascii="Arial" w:hAnsi="Arial" w:cs="Arial"/>
                <w:sz w:val="20"/>
                <w:szCs w:val="20"/>
              </w:rPr>
              <w:t>BYU will begin preparation of the annual report</w:t>
            </w:r>
            <w:r w:rsidR="00A21B03">
              <w:rPr>
                <w:rFonts w:ascii="Arial" w:hAnsi="Arial" w:cs="Arial"/>
                <w:sz w:val="20"/>
                <w:szCs w:val="20"/>
              </w:rPr>
              <w:t>.</w:t>
            </w:r>
          </w:p>
          <w:p w:rsidR="00B773E9" w:rsidRPr="00A4212B" w:rsidRDefault="00587908" w:rsidP="00B773E9">
            <w:pPr>
              <w:spacing w:after="0" w:line="240" w:lineRule="auto"/>
              <w:rPr>
                <w:rFonts w:ascii="Arial" w:hAnsi="Arial" w:cs="Arial"/>
                <w:sz w:val="20"/>
                <w:szCs w:val="20"/>
              </w:rPr>
            </w:pPr>
            <w:r>
              <w:rPr>
                <w:rFonts w:ascii="Arial" w:hAnsi="Arial" w:cs="Arial"/>
                <w:sz w:val="20"/>
                <w:szCs w:val="20"/>
              </w:rPr>
              <w:t xml:space="preserve">Task 10 – </w:t>
            </w:r>
            <w:r w:rsidR="007D2BB8">
              <w:rPr>
                <w:rFonts w:ascii="Arial" w:hAnsi="Arial" w:cs="Arial"/>
                <w:sz w:val="20"/>
                <w:szCs w:val="20"/>
              </w:rPr>
              <w:t xml:space="preserve">Two journal manuscripts currently under preparation will be submitted for review.  </w:t>
            </w:r>
            <w:r>
              <w:rPr>
                <w:rFonts w:ascii="Arial" w:hAnsi="Arial" w:cs="Arial"/>
                <w:sz w:val="20"/>
                <w:szCs w:val="20"/>
              </w:rPr>
              <w:t xml:space="preserve">We will look into </w:t>
            </w:r>
            <w:r w:rsidR="007D2BB8">
              <w:rPr>
                <w:rFonts w:ascii="Arial" w:hAnsi="Arial" w:cs="Arial"/>
                <w:sz w:val="20"/>
                <w:szCs w:val="20"/>
              </w:rPr>
              <w:t xml:space="preserve">additional </w:t>
            </w:r>
            <w:r>
              <w:rPr>
                <w:rFonts w:ascii="Arial" w:hAnsi="Arial" w:cs="Arial"/>
                <w:sz w:val="20"/>
                <w:szCs w:val="20"/>
              </w:rPr>
              <w:t>opportunities for disseminating the research results via technical papers.</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11 – </w:t>
            </w:r>
            <w:r w:rsidR="00463EA1">
              <w:rPr>
                <w:rFonts w:ascii="Arial" w:hAnsi="Arial" w:cs="Arial"/>
                <w:sz w:val="20"/>
                <w:szCs w:val="20"/>
              </w:rPr>
              <w:t xml:space="preserve">A web-conference will be held in </w:t>
            </w:r>
            <w:r w:rsidR="00045C7E">
              <w:rPr>
                <w:rFonts w:ascii="Arial" w:hAnsi="Arial" w:cs="Arial"/>
                <w:sz w:val="20"/>
                <w:szCs w:val="20"/>
              </w:rPr>
              <w:t>October</w:t>
            </w:r>
            <w:r w:rsidR="008E6C4D">
              <w:rPr>
                <w:rFonts w:ascii="Arial" w:hAnsi="Arial" w:cs="Arial"/>
                <w:sz w:val="20"/>
                <w:szCs w:val="20"/>
              </w:rPr>
              <w:t xml:space="preserve"> </w:t>
            </w:r>
            <w:r w:rsidR="00463EA1">
              <w:rPr>
                <w:rFonts w:ascii="Arial" w:hAnsi="Arial" w:cs="Arial"/>
                <w:sz w:val="20"/>
                <w:szCs w:val="20"/>
              </w:rPr>
              <w:t xml:space="preserve">with the TAC to review progress on </w:t>
            </w:r>
            <w:r w:rsidR="008E6C4D">
              <w:rPr>
                <w:rFonts w:ascii="Arial" w:hAnsi="Arial" w:cs="Arial"/>
                <w:sz w:val="20"/>
                <w:szCs w:val="20"/>
              </w:rPr>
              <w:t>T</w:t>
            </w:r>
            <w:r w:rsidR="00463EA1">
              <w:rPr>
                <w:rFonts w:ascii="Arial" w:hAnsi="Arial" w:cs="Arial"/>
                <w:sz w:val="20"/>
                <w:szCs w:val="20"/>
              </w:rPr>
              <w:t>asks</w:t>
            </w:r>
            <w:r w:rsidR="008E6C4D">
              <w:rPr>
                <w:rFonts w:ascii="Arial" w:hAnsi="Arial" w:cs="Arial"/>
                <w:sz w:val="20"/>
                <w:szCs w:val="20"/>
              </w:rPr>
              <w:t xml:space="preserve"> 5 and 6</w:t>
            </w:r>
            <w:r w:rsidR="00463EA1">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Contract –</w:t>
            </w:r>
            <w:r w:rsidR="00045C7E">
              <w:rPr>
                <w:rFonts w:ascii="Arial" w:hAnsi="Arial" w:cs="Arial"/>
                <w:sz w:val="20"/>
                <w:szCs w:val="20"/>
              </w:rPr>
              <w:t xml:space="preserve"> FFY 2015 funding transfers will be requested from the partner states, and this additional funding will be added to the research contract to fully fund the </w:t>
            </w:r>
            <w:r w:rsidR="006337FF">
              <w:rPr>
                <w:rFonts w:ascii="Arial" w:hAnsi="Arial" w:cs="Arial"/>
                <w:sz w:val="20"/>
                <w:szCs w:val="20"/>
              </w:rPr>
              <w:t>planned</w:t>
            </w:r>
            <w:r w:rsidR="00045C7E">
              <w:rPr>
                <w:rFonts w:ascii="Arial" w:hAnsi="Arial" w:cs="Arial"/>
                <w:sz w:val="20"/>
                <w:szCs w:val="20"/>
              </w:rPr>
              <w:t xml:space="preserve"> scope of work.</w:t>
            </w:r>
          </w:p>
          <w:p w:rsidR="00926E5F" w:rsidRPr="00360664"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8860BE" w:rsidRDefault="001A1210" w:rsidP="00360664">
            <w:pPr>
              <w:spacing w:after="0" w:line="240" w:lineRule="auto"/>
              <w:rPr>
                <w:rFonts w:ascii="Arial" w:hAnsi="Arial" w:cs="Arial"/>
                <w:sz w:val="20"/>
                <w:szCs w:val="20"/>
              </w:rPr>
            </w:pPr>
            <w:r>
              <w:rPr>
                <w:rFonts w:ascii="Arial" w:hAnsi="Arial" w:cs="Arial"/>
                <w:sz w:val="20"/>
                <w:szCs w:val="20"/>
              </w:rPr>
              <w:t>The research activities this quarter focused on applying the simplified performance-based liquefaction triggering and lateral spread displacement models to the states funding this research project. Specifically, liquefaction parameter/loading maps were developed for the states, as well as lateral spread displacement reference maps.</w:t>
            </w:r>
          </w:p>
          <w:p w:rsidR="001A1210" w:rsidRDefault="001A1210" w:rsidP="00360664">
            <w:pPr>
              <w:spacing w:after="0" w:line="240" w:lineRule="auto"/>
              <w:rPr>
                <w:rFonts w:ascii="Arial" w:hAnsi="Arial" w:cs="Arial"/>
                <w:sz w:val="20"/>
                <w:szCs w:val="20"/>
              </w:rPr>
            </w:pPr>
          </w:p>
          <w:p w:rsidR="001A1210" w:rsidRPr="001A1210" w:rsidRDefault="001A1210" w:rsidP="00360664">
            <w:pPr>
              <w:spacing w:after="0" w:line="240" w:lineRule="auto"/>
              <w:rPr>
                <w:rFonts w:ascii="Arial" w:hAnsi="Arial" w:cs="Arial"/>
                <w:sz w:val="20"/>
                <w:szCs w:val="20"/>
              </w:rPr>
            </w:pPr>
            <w:r>
              <w:rPr>
                <w:rFonts w:ascii="Arial" w:hAnsi="Arial" w:cs="Arial"/>
                <w:sz w:val="20"/>
                <w:szCs w:val="20"/>
              </w:rPr>
              <w:t>The development of the reference maps this quarter required greater understanding of how the grid spacing used to develop the contour maps can bias the simplified results. If the grid spacing is too small, then the map developing will be analytically expensive and time-consuming. If the grid spacing is too large, then the maps will introduce bias in the computed liquefaction hazards, particularly in areas of higher seis</w:t>
            </w:r>
            <w:r w:rsidR="003B3175">
              <w:rPr>
                <w:rFonts w:ascii="Arial" w:hAnsi="Arial" w:cs="Arial"/>
                <w:sz w:val="20"/>
                <w:szCs w:val="20"/>
              </w:rPr>
              <w:t xml:space="preserve">micity. A grid spacing study was </w:t>
            </w:r>
            <w:r>
              <w:rPr>
                <w:rFonts w:ascii="Arial" w:hAnsi="Arial" w:cs="Arial"/>
                <w:sz w:val="20"/>
                <w:szCs w:val="20"/>
              </w:rPr>
              <w:t xml:space="preserve">performed to correlate the length of the grid spacing required to achieve </w:t>
            </w:r>
            <w:r w:rsidRPr="001A1210">
              <w:rPr>
                <w:rFonts w:ascii="Arial" w:hAnsi="Arial" w:cs="Arial"/>
                <w:position w:val="-4"/>
                <w:sz w:val="20"/>
                <w:szCs w:val="2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12.25pt" o:ole="">
                  <v:imagedata r:id="rId8" o:title=""/>
                </v:shape>
                <o:OLEObject Type="Embed" ProgID="Equation.DSMT4" ShapeID="_x0000_i1028" DrawAspect="Content" ObjectID="_1475901632" r:id="rId9"/>
              </w:object>
            </w:r>
            <w:r>
              <w:rPr>
                <w:rFonts w:ascii="Arial" w:hAnsi="Arial" w:cs="Arial"/>
                <w:sz w:val="20"/>
                <w:szCs w:val="20"/>
              </w:rPr>
              <w:t xml:space="preserve"> 5% bias in </w:t>
            </w:r>
            <w:r w:rsidRPr="007D2BB8">
              <w:rPr>
                <w:rFonts w:ascii="Arial" w:hAnsi="Arial" w:cs="Arial"/>
                <w:position w:val="-14"/>
                <w:sz w:val="20"/>
                <w:szCs w:val="20"/>
              </w:rPr>
              <w:object w:dxaOrig="1140" w:dyaOrig="400">
                <v:shape id="_x0000_i1029" type="#_x0000_t75" style="width:57.05pt;height:19.7pt" o:ole="">
                  <v:imagedata r:id="rId10" o:title=""/>
                </v:shape>
                <o:OLEObject Type="Embed" ProgID="Equation.DSMT4" ShapeID="_x0000_i1029" DrawAspect="Content" ObjectID="_1475901633" r:id="rId11"/>
              </w:object>
            </w:r>
            <w:r>
              <w:rPr>
                <w:rFonts w:ascii="Arial" w:hAnsi="Arial" w:cs="Arial"/>
                <w:sz w:val="20"/>
                <w:szCs w:val="20"/>
              </w:rPr>
              <w:t xml:space="preserve"> and </w:t>
            </w:r>
            <w:r w:rsidR="003B3175" w:rsidRPr="003B3175">
              <w:rPr>
                <w:rFonts w:ascii="Arial" w:hAnsi="Arial" w:cs="Arial"/>
                <w:position w:val="-14"/>
                <w:sz w:val="20"/>
                <w:szCs w:val="20"/>
              </w:rPr>
              <w:object w:dxaOrig="1120" w:dyaOrig="440">
                <v:shape id="_x0000_i1030" type="#_x0000_t75" style="width:55.7pt;height:21.75pt" o:ole="">
                  <v:imagedata r:id="rId12" o:title=""/>
                </v:shape>
                <o:OLEObject Type="Embed" ProgID="Equation.DSMT4" ShapeID="_x0000_i1030" DrawAspect="Content" ObjectID="_1475901634" r:id="rId13"/>
              </w:object>
            </w:r>
            <w:r w:rsidR="003B3175">
              <w:rPr>
                <w:rFonts w:ascii="Arial" w:hAnsi="Arial" w:cs="Arial"/>
                <w:sz w:val="20"/>
                <w:szCs w:val="20"/>
              </w:rPr>
              <w:t xml:space="preserve"> </w:t>
            </w:r>
            <w:proofErr w:type="spellStart"/>
            <w:r w:rsidR="003B3175">
              <w:rPr>
                <w:rFonts w:ascii="Arial" w:hAnsi="Arial" w:cs="Arial"/>
                <w:sz w:val="20"/>
                <w:szCs w:val="20"/>
              </w:rPr>
              <w:t>and</w:t>
            </w:r>
            <w:proofErr w:type="spellEnd"/>
            <w:r w:rsidR="003B3175">
              <w:rPr>
                <w:rFonts w:ascii="Arial" w:hAnsi="Arial" w:cs="Arial"/>
                <w:sz w:val="20"/>
                <w:szCs w:val="20"/>
              </w:rPr>
              <w:t xml:space="preserve"> mapped probabilistic peak ground acceleration (</w:t>
            </w:r>
            <w:r w:rsidR="003B3175" w:rsidRPr="00CC401B">
              <w:rPr>
                <w:rFonts w:ascii="Arial" w:hAnsi="Arial" w:cs="Arial"/>
                <w:i/>
                <w:sz w:val="20"/>
                <w:szCs w:val="20"/>
              </w:rPr>
              <w:t>PGA</w:t>
            </w:r>
            <w:r w:rsidR="003B3175">
              <w:rPr>
                <w:rFonts w:ascii="Arial" w:hAnsi="Arial" w:cs="Arial"/>
                <w:sz w:val="20"/>
                <w:szCs w:val="20"/>
              </w:rPr>
              <w:t xml:space="preserve">) hazard. Multiple cities across the U.S. were evaluated </w:t>
            </w:r>
            <w:r w:rsidR="00F93966">
              <w:rPr>
                <w:rFonts w:ascii="Arial" w:hAnsi="Arial" w:cs="Arial"/>
                <w:sz w:val="20"/>
                <w:szCs w:val="20"/>
              </w:rPr>
              <w:t>in developing these</w:t>
            </w:r>
            <w:r w:rsidR="003B3175">
              <w:rPr>
                <w:rFonts w:ascii="Arial" w:hAnsi="Arial" w:cs="Arial"/>
                <w:sz w:val="20"/>
                <w:szCs w:val="20"/>
              </w:rPr>
              <w:t xml:space="preserve"> correlation</w:t>
            </w:r>
            <w:r w:rsidR="00F93966">
              <w:rPr>
                <w:rFonts w:ascii="Arial" w:hAnsi="Arial" w:cs="Arial"/>
                <w:sz w:val="20"/>
                <w:szCs w:val="20"/>
              </w:rPr>
              <w:t>s.</w:t>
            </w:r>
            <w:r w:rsidR="003B3175">
              <w:rPr>
                <w:rFonts w:ascii="Arial" w:hAnsi="Arial" w:cs="Arial"/>
                <w:sz w:val="20"/>
                <w:szCs w:val="20"/>
              </w:rPr>
              <w:t xml:space="preserve"> </w:t>
            </w:r>
            <w:r w:rsidR="00F93966">
              <w:rPr>
                <w:rFonts w:ascii="Arial" w:hAnsi="Arial" w:cs="Arial"/>
                <w:sz w:val="20"/>
                <w:szCs w:val="20"/>
              </w:rPr>
              <w:t>The recommended correlation for developing liquefaction triggering parameter/loading maps are presented</w:t>
            </w:r>
            <w:r w:rsidR="003B3175">
              <w:rPr>
                <w:rFonts w:ascii="Arial" w:hAnsi="Arial" w:cs="Arial"/>
                <w:sz w:val="20"/>
                <w:szCs w:val="20"/>
              </w:rPr>
              <w:t xml:space="preserve"> in Fig. 1</w:t>
            </w:r>
            <w:r w:rsidR="00F93966">
              <w:rPr>
                <w:rFonts w:ascii="Arial" w:hAnsi="Arial" w:cs="Arial"/>
                <w:sz w:val="20"/>
                <w:szCs w:val="20"/>
              </w:rPr>
              <w:t xml:space="preserve"> and Table 1. The recommended correlation for developing lateral spread displacement reference maps are presented in Fig. 2 and Table 2. </w:t>
            </w:r>
          </w:p>
          <w:p w:rsidR="008860BE" w:rsidRDefault="008860BE" w:rsidP="00360664">
            <w:pPr>
              <w:spacing w:after="0" w:line="240" w:lineRule="auto"/>
              <w:rPr>
                <w:rFonts w:ascii="Arial" w:hAnsi="Arial" w:cs="Arial"/>
                <w:sz w:val="20"/>
                <w:szCs w:val="20"/>
              </w:rPr>
            </w:pPr>
          </w:p>
          <w:p w:rsidR="00020513" w:rsidRDefault="00020513">
            <w:pPr>
              <w:spacing w:after="0" w:line="240" w:lineRule="auto"/>
              <w:rPr>
                <w:rFonts w:ascii="Arial" w:hAnsi="Arial" w:cs="Arial"/>
                <w:sz w:val="20"/>
                <w:szCs w:val="20"/>
              </w:rPr>
            </w:pPr>
          </w:p>
          <w:p w:rsidR="003B3175" w:rsidRDefault="003B3175" w:rsidP="00CC401B">
            <w:pPr>
              <w:spacing w:after="0" w:line="240" w:lineRule="auto"/>
              <w:jc w:val="center"/>
              <w:rPr>
                <w:rFonts w:ascii="Arial" w:hAnsi="Arial" w:cs="Arial"/>
                <w:b/>
                <w:sz w:val="20"/>
                <w:szCs w:val="20"/>
              </w:rPr>
            </w:pPr>
            <w:r>
              <w:rPr>
                <w:noProof/>
              </w:rPr>
              <w:drawing>
                <wp:inline distT="0" distB="0" distL="0" distR="0" wp14:anchorId="2AFB3867" wp14:editId="02AF7FEB">
                  <wp:extent cx="5885477" cy="4711538"/>
                  <wp:effectExtent l="0" t="0" r="127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68C2" w:rsidRPr="00FC31CD" w:rsidRDefault="006168C2">
            <w:pPr>
              <w:spacing w:after="0" w:line="240" w:lineRule="auto"/>
              <w:rPr>
                <w:rFonts w:ascii="Arial" w:hAnsi="Arial" w:cs="Arial"/>
                <w:b/>
                <w:sz w:val="20"/>
                <w:szCs w:val="20"/>
              </w:rPr>
            </w:pPr>
            <w:r>
              <w:rPr>
                <w:rFonts w:ascii="Arial" w:hAnsi="Arial" w:cs="Arial"/>
                <w:b/>
                <w:sz w:val="20"/>
                <w:szCs w:val="20"/>
              </w:rPr>
              <w:t xml:space="preserve">Figure 1.  </w:t>
            </w:r>
            <w:r w:rsidR="003B3175">
              <w:rPr>
                <w:rFonts w:ascii="Arial" w:hAnsi="Arial" w:cs="Arial"/>
                <w:b/>
                <w:sz w:val="20"/>
                <w:szCs w:val="20"/>
              </w:rPr>
              <w:t xml:space="preserve">Recommended grid spacing correlation for developing liquefaction parameter/loading maps. These correlations should result in </w:t>
            </w:r>
            <w:r w:rsidR="003B3175" w:rsidRPr="007D2BB8">
              <w:rPr>
                <w:rFonts w:ascii="Arial" w:hAnsi="Arial" w:cs="Arial"/>
                <w:b/>
                <w:position w:val="-6"/>
                <w:sz w:val="20"/>
                <w:szCs w:val="20"/>
              </w:rPr>
              <w:object w:dxaOrig="580" w:dyaOrig="279">
                <v:shape id="_x0000_i1031" type="#_x0000_t75" style="width:29.2pt;height:14.25pt" o:ole="">
                  <v:imagedata r:id="rId15" o:title=""/>
                </v:shape>
                <o:OLEObject Type="Embed" ProgID="Equation.DSMT4" ShapeID="_x0000_i1031" DrawAspect="Content" ObjectID="_1475901635" r:id="rId16"/>
              </w:object>
            </w:r>
            <w:r w:rsidR="003B3175">
              <w:rPr>
                <w:rFonts w:ascii="Arial" w:hAnsi="Arial" w:cs="Arial"/>
                <w:b/>
                <w:sz w:val="20"/>
                <w:szCs w:val="20"/>
              </w:rPr>
              <w:t xml:space="preserve"> absolute error in computing </w:t>
            </w:r>
            <w:r w:rsidR="003B3175" w:rsidRPr="007D2BB8">
              <w:rPr>
                <w:rFonts w:ascii="Arial" w:hAnsi="Arial" w:cs="Arial"/>
                <w:b/>
                <w:position w:val="-14"/>
                <w:sz w:val="20"/>
                <w:szCs w:val="20"/>
              </w:rPr>
              <w:object w:dxaOrig="1140" w:dyaOrig="400">
                <v:shape id="_x0000_i1032" type="#_x0000_t75" style="width:57.05pt;height:19.7pt" o:ole="">
                  <v:imagedata r:id="rId17" o:title=""/>
                </v:shape>
                <o:OLEObject Type="Embed" ProgID="Equation.DSMT4" ShapeID="_x0000_i1032" DrawAspect="Content" ObjectID="_1475901636" r:id="rId18"/>
              </w:object>
            </w:r>
            <w:r w:rsidR="003B3175">
              <w:rPr>
                <w:rFonts w:ascii="Arial" w:hAnsi="Arial" w:cs="Arial"/>
                <w:b/>
                <w:sz w:val="20"/>
                <w:szCs w:val="20"/>
              </w:rPr>
              <w:t xml:space="preserve"> and/</w:t>
            </w:r>
            <w:proofErr w:type="gramStart"/>
            <w:r w:rsidR="003B3175">
              <w:rPr>
                <w:rFonts w:ascii="Arial" w:hAnsi="Arial" w:cs="Arial"/>
                <w:b/>
                <w:sz w:val="20"/>
                <w:szCs w:val="20"/>
              </w:rPr>
              <w:t xml:space="preserve">or </w:t>
            </w:r>
            <w:proofErr w:type="gramEnd"/>
            <w:r w:rsidR="003B3175" w:rsidRPr="007D2BB8">
              <w:rPr>
                <w:rFonts w:ascii="Arial" w:hAnsi="Arial" w:cs="Arial"/>
                <w:b/>
                <w:position w:val="-14"/>
                <w:sz w:val="20"/>
                <w:szCs w:val="20"/>
              </w:rPr>
              <w:object w:dxaOrig="480" w:dyaOrig="400">
                <v:shape id="_x0000_i1033" type="#_x0000_t75" style="width:23.75pt;height:19.7pt" o:ole="">
                  <v:imagedata r:id="rId19" o:title=""/>
                </v:shape>
                <o:OLEObject Type="Embed" ProgID="Equation.DSMT4" ShapeID="_x0000_i1033" DrawAspect="Content" ObjectID="_1475901637" r:id="rId20"/>
              </w:object>
            </w:r>
            <w:r w:rsidR="003B3175">
              <w:rPr>
                <w:rFonts w:ascii="Arial" w:hAnsi="Arial" w:cs="Arial"/>
                <w:b/>
                <w:sz w:val="20"/>
                <w:szCs w:val="20"/>
              </w:rPr>
              <w:t>.</w:t>
            </w:r>
          </w:p>
          <w:p w:rsidR="007F0BF1" w:rsidRDefault="007F0BF1" w:rsidP="00360664">
            <w:pPr>
              <w:spacing w:after="0" w:line="240" w:lineRule="auto"/>
              <w:rPr>
                <w:rFonts w:ascii="Arial" w:hAnsi="Arial" w:cs="Arial"/>
                <w:sz w:val="20"/>
                <w:szCs w:val="20"/>
              </w:rPr>
            </w:pPr>
          </w:p>
          <w:p w:rsidR="003B3175" w:rsidRDefault="003B3175" w:rsidP="00360664">
            <w:pPr>
              <w:spacing w:after="0" w:line="240" w:lineRule="auto"/>
              <w:rPr>
                <w:rFonts w:ascii="Arial" w:hAnsi="Arial" w:cs="Arial"/>
                <w:b/>
                <w:sz w:val="20"/>
                <w:szCs w:val="20"/>
              </w:rPr>
            </w:pPr>
            <w:r>
              <w:rPr>
                <w:rFonts w:ascii="Arial" w:hAnsi="Arial" w:cs="Arial"/>
                <w:b/>
                <w:sz w:val="20"/>
                <w:szCs w:val="20"/>
              </w:rPr>
              <w:t xml:space="preserve">Table 1.  Recommended grid spacing correlation for developing liquefaction parameter/loading maps. Interpreted from the hand-drawn correlations presented in Fig. 1. </w:t>
            </w:r>
          </w:p>
          <w:p w:rsidR="003B3175" w:rsidRDefault="003B3175" w:rsidP="00360664">
            <w:pPr>
              <w:spacing w:after="0" w:line="240" w:lineRule="auto"/>
              <w:rPr>
                <w:rFonts w:ascii="Arial" w:hAnsi="Arial" w:cs="Arial"/>
                <w:b/>
                <w:sz w:val="20"/>
                <w:szCs w:val="20"/>
              </w:rPr>
            </w:pPr>
          </w:p>
          <w:tbl>
            <w:tblPr>
              <w:tblW w:w="3843" w:type="dxa"/>
              <w:jc w:val="center"/>
              <w:tblLook w:val="04A0" w:firstRow="1" w:lastRow="0" w:firstColumn="1" w:lastColumn="0" w:noHBand="0" w:noVBand="1"/>
            </w:tblPr>
            <w:tblGrid>
              <w:gridCol w:w="1249"/>
              <w:gridCol w:w="1572"/>
              <w:gridCol w:w="1572"/>
            </w:tblGrid>
            <w:tr w:rsidR="003B3175" w:rsidRPr="006E1CB0" w:rsidTr="00A34F78">
              <w:trPr>
                <w:trHeight w:val="683"/>
                <w:jc w:val="center"/>
              </w:trPr>
              <w:tc>
                <w:tcPr>
                  <w:tcW w:w="1249" w:type="dxa"/>
                  <w:tcBorders>
                    <w:top w:val="single" w:sz="4" w:space="0" w:color="auto"/>
                    <w:bottom w:val="double" w:sz="4" w:space="0" w:color="auto"/>
                  </w:tcBorders>
                  <w:shd w:val="clear" w:color="auto" w:fill="auto"/>
                  <w:noWrap/>
                  <w:vAlign w:val="center"/>
                  <w:hideMark/>
                </w:tcPr>
                <w:p w:rsidR="003B3175" w:rsidRPr="00777E11" w:rsidRDefault="003B3175" w:rsidP="00A34F78">
                  <w:pPr>
                    <w:spacing w:line="240" w:lineRule="auto"/>
                    <w:jc w:val="center"/>
                    <w:rPr>
                      <w:i/>
                      <w:color w:val="000000"/>
                    </w:rPr>
                  </w:pPr>
                  <w:r w:rsidRPr="00CC401B">
                    <w:rPr>
                      <w:color w:val="000000"/>
                    </w:rPr>
                    <w:t xml:space="preserve">Mapped </w:t>
                  </w:r>
                  <w:r w:rsidRPr="00777E11">
                    <w:rPr>
                      <w:i/>
                      <w:color w:val="000000"/>
                    </w:rPr>
                    <w:t>PGA</w:t>
                  </w:r>
                  <w:r>
                    <w:rPr>
                      <w:i/>
                      <w:color w:val="000000"/>
                    </w:rPr>
                    <w:t xml:space="preserve"> (g)</w:t>
                  </w:r>
                </w:p>
              </w:tc>
              <w:tc>
                <w:tcPr>
                  <w:tcW w:w="1320" w:type="dxa"/>
                  <w:tcBorders>
                    <w:top w:val="single" w:sz="4" w:space="0" w:color="auto"/>
                    <w:bottom w:val="double" w:sz="4" w:space="0" w:color="auto"/>
                  </w:tcBorders>
                  <w:shd w:val="clear" w:color="auto" w:fill="auto"/>
                  <w:noWrap/>
                  <w:vAlign w:val="center"/>
                  <w:hideMark/>
                </w:tcPr>
                <w:p w:rsidR="003B3175" w:rsidRPr="006E1CB0" w:rsidRDefault="003B3175" w:rsidP="00A34F78">
                  <w:pPr>
                    <w:spacing w:line="240" w:lineRule="auto"/>
                    <w:jc w:val="center"/>
                    <w:rPr>
                      <w:color w:val="000000"/>
                    </w:rPr>
                  </w:pPr>
                  <w:r>
                    <w:rPr>
                      <w:color w:val="000000"/>
                    </w:rPr>
                    <w:t xml:space="preserve">Recommended </w:t>
                  </w:r>
                  <w:r w:rsidRPr="006E1CB0">
                    <w:rPr>
                      <w:color w:val="000000"/>
                    </w:rPr>
                    <w:t>Spacing (km)</w:t>
                  </w:r>
                </w:p>
              </w:tc>
              <w:tc>
                <w:tcPr>
                  <w:tcW w:w="1274" w:type="dxa"/>
                  <w:tcBorders>
                    <w:top w:val="single" w:sz="4" w:space="0" w:color="auto"/>
                    <w:bottom w:val="double" w:sz="4" w:space="0" w:color="auto"/>
                  </w:tcBorders>
                  <w:shd w:val="clear" w:color="auto" w:fill="auto"/>
                  <w:noWrap/>
                  <w:vAlign w:val="center"/>
                  <w:hideMark/>
                </w:tcPr>
                <w:p w:rsidR="003B3175" w:rsidRPr="006E1CB0" w:rsidRDefault="003B3175" w:rsidP="00A34F78">
                  <w:pPr>
                    <w:spacing w:line="240" w:lineRule="auto"/>
                    <w:jc w:val="center"/>
                    <w:rPr>
                      <w:color w:val="000000"/>
                    </w:rPr>
                  </w:pPr>
                  <w:r>
                    <w:rPr>
                      <w:color w:val="000000"/>
                    </w:rPr>
                    <w:t xml:space="preserve">Recommended </w:t>
                  </w:r>
                  <w:r w:rsidRPr="006E1CB0">
                    <w:rPr>
                      <w:color w:val="000000"/>
                    </w:rPr>
                    <w:t>Spacing (mi)</w:t>
                  </w:r>
                </w:p>
              </w:tc>
            </w:tr>
            <w:tr w:rsidR="003B3175" w:rsidRPr="006E1CB0" w:rsidTr="00A34F78">
              <w:trPr>
                <w:trHeight w:val="373"/>
                <w:jc w:val="center"/>
              </w:trPr>
              <w:tc>
                <w:tcPr>
                  <w:tcW w:w="1249" w:type="dxa"/>
                  <w:tcBorders>
                    <w:top w:val="double" w:sz="4" w:space="0" w:color="auto"/>
                  </w:tcBorders>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0 - 0.04</w:t>
                  </w:r>
                </w:p>
              </w:tc>
              <w:tc>
                <w:tcPr>
                  <w:tcW w:w="1320" w:type="dxa"/>
                  <w:tcBorders>
                    <w:top w:val="double" w:sz="4" w:space="0" w:color="auto"/>
                  </w:tcBorders>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50</w:t>
                  </w:r>
                </w:p>
              </w:tc>
              <w:tc>
                <w:tcPr>
                  <w:tcW w:w="1274" w:type="dxa"/>
                  <w:tcBorders>
                    <w:top w:val="double" w:sz="4" w:space="0" w:color="auto"/>
                  </w:tcBorders>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31.1</w:t>
                  </w:r>
                </w:p>
              </w:tc>
            </w:tr>
            <w:tr w:rsidR="003B3175" w:rsidRPr="006E1CB0" w:rsidTr="00A34F78">
              <w:trPr>
                <w:trHeight w:val="373"/>
                <w:jc w:val="center"/>
              </w:trPr>
              <w:tc>
                <w:tcPr>
                  <w:tcW w:w="1249"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0.04 - 0.08</w:t>
                  </w:r>
                </w:p>
              </w:tc>
              <w:tc>
                <w:tcPr>
                  <w:tcW w:w="1320"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50</w:t>
                  </w:r>
                </w:p>
              </w:tc>
              <w:tc>
                <w:tcPr>
                  <w:tcW w:w="1274"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31.1</w:t>
                  </w:r>
                </w:p>
              </w:tc>
            </w:tr>
            <w:tr w:rsidR="003B3175" w:rsidRPr="006E1CB0" w:rsidTr="00A34F78">
              <w:trPr>
                <w:trHeight w:val="373"/>
                <w:jc w:val="center"/>
              </w:trPr>
              <w:tc>
                <w:tcPr>
                  <w:tcW w:w="1249"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0.08 - 0.16</w:t>
                  </w:r>
                </w:p>
              </w:tc>
              <w:tc>
                <w:tcPr>
                  <w:tcW w:w="1320"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30</w:t>
                  </w:r>
                </w:p>
              </w:tc>
              <w:tc>
                <w:tcPr>
                  <w:tcW w:w="1274"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18.6</w:t>
                  </w:r>
                </w:p>
              </w:tc>
            </w:tr>
            <w:tr w:rsidR="003B3175" w:rsidRPr="006E1CB0" w:rsidTr="00A34F78">
              <w:trPr>
                <w:trHeight w:val="373"/>
                <w:jc w:val="center"/>
              </w:trPr>
              <w:tc>
                <w:tcPr>
                  <w:tcW w:w="1249"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0.16 - 0.32</w:t>
                  </w:r>
                </w:p>
              </w:tc>
              <w:tc>
                <w:tcPr>
                  <w:tcW w:w="1320"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20</w:t>
                  </w:r>
                </w:p>
              </w:tc>
              <w:tc>
                <w:tcPr>
                  <w:tcW w:w="1274"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12.4</w:t>
                  </w:r>
                </w:p>
              </w:tc>
            </w:tr>
            <w:tr w:rsidR="003B3175" w:rsidRPr="006E1CB0" w:rsidTr="00A34F78">
              <w:trPr>
                <w:trHeight w:val="373"/>
                <w:jc w:val="center"/>
              </w:trPr>
              <w:tc>
                <w:tcPr>
                  <w:tcW w:w="1249"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0.32 - 0.48</w:t>
                  </w:r>
                </w:p>
              </w:tc>
              <w:tc>
                <w:tcPr>
                  <w:tcW w:w="1320"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12</w:t>
                  </w:r>
                </w:p>
              </w:tc>
              <w:tc>
                <w:tcPr>
                  <w:tcW w:w="1274"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7.5</w:t>
                  </w:r>
                </w:p>
              </w:tc>
            </w:tr>
            <w:tr w:rsidR="003B3175" w:rsidRPr="006E1CB0" w:rsidTr="00A34F78">
              <w:trPr>
                <w:trHeight w:val="373"/>
                <w:jc w:val="center"/>
              </w:trPr>
              <w:tc>
                <w:tcPr>
                  <w:tcW w:w="1249"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0.48 - 0.64</w:t>
                  </w:r>
                </w:p>
              </w:tc>
              <w:tc>
                <w:tcPr>
                  <w:tcW w:w="1320"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8</w:t>
                  </w:r>
                </w:p>
              </w:tc>
              <w:tc>
                <w:tcPr>
                  <w:tcW w:w="1274" w:type="dxa"/>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5.0</w:t>
                  </w:r>
                </w:p>
              </w:tc>
            </w:tr>
            <w:tr w:rsidR="003B3175" w:rsidRPr="006E1CB0" w:rsidTr="00A34F78">
              <w:trPr>
                <w:trHeight w:val="373"/>
                <w:jc w:val="center"/>
              </w:trPr>
              <w:tc>
                <w:tcPr>
                  <w:tcW w:w="1249" w:type="dxa"/>
                  <w:tcBorders>
                    <w:bottom w:val="single" w:sz="4" w:space="0" w:color="auto"/>
                  </w:tcBorders>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0.64+</w:t>
                  </w:r>
                </w:p>
              </w:tc>
              <w:tc>
                <w:tcPr>
                  <w:tcW w:w="1320" w:type="dxa"/>
                  <w:tcBorders>
                    <w:bottom w:val="single" w:sz="4" w:space="0" w:color="auto"/>
                  </w:tcBorders>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4</w:t>
                  </w:r>
                </w:p>
              </w:tc>
              <w:tc>
                <w:tcPr>
                  <w:tcW w:w="1274" w:type="dxa"/>
                  <w:tcBorders>
                    <w:bottom w:val="single" w:sz="4" w:space="0" w:color="auto"/>
                  </w:tcBorders>
                  <w:shd w:val="clear" w:color="auto" w:fill="auto"/>
                  <w:noWrap/>
                  <w:vAlign w:val="center"/>
                  <w:hideMark/>
                </w:tcPr>
                <w:p w:rsidR="003B3175" w:rsidRPr="006E1CB0" w:rsidRDefault="003B3175" w:rsidP="00A34F78">
                  <w:pPr>
                    <w:spacing w:line="240" w:lineRule="auto"/>
                    <w:jc w:val="center"/>
                    <w:rPr>
                      <w:color w:val="000000"/>
                    </w:rPr>
                  </w:pPr>
                  <w:r w:rsidRPr="006E1CB0">
                    <w:rPr>
                      <w:color w:val="000000"/>
                    </w:rPr>
                    <w:t>2.5</w:t>
                  </w:r>
                </w:p>
              </w:tc>
            </w:tr>
          </w:tbl>
          <w:p w:rsidR="003B3175" w:rsidRPr="00CC401B" w:rsidRDefault="003B3175" w:rsidP="00360664">
            <w:pPr>
              <w:spacing w:after="0" w:line="240" w:lineRule="auto"/>
              <w:rPr>
                <w:rFonts w:ascii="Arial" w:hAnsi="Arial" w:cs="Arial"/>
                <w:b/>
                <w:sz w:val="20"/>
                <w:szCs w:val="20"/>
              </w:rPr>
            </w:pPr>
          </w:p>
          <w:p w:rsidR="003B3175" w:rsidRDefault="003B3175" w:rsidP="00360664">
            <w:pPr>
              <w:spacing w:after="0" w:line="240" w:lineRule="auto"/>
              <w:rPr>
                <w:rFonts w:ascii="Arial" w:hAnsi="Arial" w:cs="Arial"/>
                <w:sz w:val="20"/>
                <w:szCs w:val="20"/>
              </w:rPr>
            </w:pPr>
          </w:p>
          <w:p w:rsidR="006168C2" w:rsidRDefault="00F93966" w:rsidP="00CC401B">
            <w:pPr>
              <w:spacing w:after="0" w:line="240" w:lineRule="auto"/>
              <w:jc w:val="center"/>
              <w:rPr>
                <w:rFonts w:ascii="Arial" w:hAnsi="Arial" w:cs="Arial"/>
                <w:sz w:val="20"/>
                <w:szCs w:val="20"/>
              </w:rPr>
            </w:pPr>
            <w:r>
              <w:rPr>
                <w:noProof/>
              </w:rPr>
              <w:drawing>
                <wp:inline distT="0" distB="0" distL="0" distR="0" wp14:anchorId="23B0C28E" wp14:editId="4F2484CC">
                  <wp:extent cx="4242391" cy="3721395"/>
                  <wp:effectExtent l="0" t="0" r="635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93966" w:rsidRPr="00FC31CD" w:rsidRDefault="006168C2" w:rsidP="00F93966">
            <w:pPr>
              <w:spacing w:after="0" w:line="240" w:lineRule="auto"/>
              <w:rPr>
                <w:rFonts w:ascii="Arial" w:hAnsi="Arial" w:cs="Arial"/>
                <w:b/>
                <w:sz w:val="20"/>
                <w:szCs w:val="20"/>
              </w:rPr>
            </w:pPr>
            <w:r>
              <w:rPr>
                <w:rFonts w:ascii="Arial" w:hAnsi="Arial" w:cs="Arial"/>
                <w:b/>
                <w:sz w:val="20"/>
                <w:szCs w:val="20"/>
              </w:rPr>
              <w:t xml:space="preserve">Figure 2.  </w:t>
            </w:r>
            <w:r w:rsidR="00F93966">
              <w:rPr>
                <w:rFonts w:ascii="Arial" w:hAnsi="Arial" w:cs="Arial"/>
                <w:b/>
                <w:sz w:val="20"/>
                <w:szCs w:val="20"/>
              </w:rPr>
              <w:t xml:space="preserve">Grid spacing correlations for developing lateral spread displacement reference maps. The solid line should result in </w:t>
            </w:r>
            <w:r w:rsidR="00F93966" w:rsidRPr="007D2BB8">
              <w:rPr>
                <w:rFonts w:ascii="Arial" w:hAnsi="Arial" w:cs="Arial"/>
                <w:b/>
                <w:position w:val="-6"/>
                <w:sz w:val="20"/>
                <w:szCs w:val="20"/>
              </w:rPr>
              <w:object w:dxaOrig="580" w:dyaOrig="279">
                <v:shape id="_x0000_i1034" type="#_x0000_t75" style="width:29.2pt;height:14.25pt" o:ole="">
                  <v:imagedata r:id="rId22" o:title=""/>
                </v:shape>
                <o:OLEObject Type="Embed" ProgID="Equation.DSMT4" ShapeID="_x0000_i1034" DrawAspect="Content" ObjectID="_1475901638" r:id="rId23"/>
              </w:object>
            </w:r>
            <w:r w:rsidR="00F93966">
              <w:rPr>
                <w:rFonts w:ascii="Arial" w:hAnsi="Arial" w:cs="Arial"/>
                <w:b/>
                <w:sz w:val="20"/>
                <w:szCs w:val="20"/>
              </w:rPr>
              <w:t xml:space="preserve"> absolute error in </w:t>
            </w:r>
            <w:proofErr w:type="gramStart"/>
            <w:r w:rsidR="00F93966">
              <w:rPr>
                <w:rFonts w:ascii="Arial" w:hAnsi="Arial" w:cs="Arial"/>
                <w:b/>
                <w:sz w:val="20"/>
                <w:szCs w:val="20"/>
              </w:rPr>
              <w:t xml:space="preserve">computing </w:t>
            </w:r>
            <w:proofErr w:type="gramEnd"/>
            <w:r w:rsidR="00F93966" w:rsidRPr="007D2BB8">
              <w:rPr>
                <w:rFonts w:ascii="Arial" w:hAnsi="Arial" w:cs="Arial"/>
                <w:b/>
                <w:position w:val="-14"/>
                <w:sz w:val="20"/>
                <w:szCs w:val="20"/>
              </w:rPr>
              <w:object w:dxaOrig="1120" w:dyaOrig="440">
                <v:shape id="_x0000_i1035" type="#_x0000_t75" style="width:55.7pt;height:21.75pt" o:ole="">
                  <v:imagedata r:id="rId24" o:title=""/>
                </v:shape>
                <o:OLEObject Type="Embed" ProgID="Equation.DSMT4" ShapeID="_x0000_i1035" DrawAspect="Content" ObjectID="_1475901639" r:id="rId25"/>
              </w:object>
            </w:r>
            <w:r w:rsidR="00F93966">
              <w:rPr>
                <w:rFonts w:ascii="Arial" w:hAnsi="Arial" w:cs="Arial"/>
                <w:b/>
                <w:sz w:val="20"/>
                <w:szCs w:val="20"/>
              </w:rPr>
              <w:t>.</w:t>
            </w:r>
          </w:p>
          <w:p w:rsidR="00F93966" w:rsidRDefault="00F93966" w:rsidP="006168C2">
            <w:pPr>
              <w:spacing w:after="0" w:line="240" w:lineRule="auto"/>
              <w:rPr>
                <w:rFonts w:ascii="Arial" w:hAnsi="Arial" w:cs="Arial"/>
                <w:b/>
                <w:sz w:val="20"/>
                <w:szCs w:val="20"/>
              </w:rPr>
            </w:pPr>
          </w:p>
          <w:p w:rsidR="006168C2" w:rsidRPr="00F03E1A" w:rsidRDefault="006168C2" w:rsidP="006168C2">
            <w:pPr>
              <w:spacing w:after="0" w:line="240" w:lineRule="auto"/>
              <w:rPr>
                <w:rFonts w:ascii="Arial" w:hAnsi="Arial" w:cs="Arial"/>
                <w:b/>
                <w:sz w:val="20"/>
                <w:szCs w:val="20"/>
              </w:rPr>
            </w:pPr>
          </w:p>
          <w:p w:rsidR="00F93966" w:rsidRDefault="00F93966" w:rsidP="00F93966">
            <w:pPr>
              <w:spacing w:after="0" w:line="240" w:lineRule="auto"/>
              <w:rPr>
                <w:rFonts w:ascii="Arial" w:hAnsi="Arial" w:cs="Arial"/>
                <w:b/>
                <w:sz w:val="20"/>
                <w:szCs w:val="20"/>
              </w:rPr>
            </w:pPr>
            <w:r>
              <w:rPr>
                <w:rFonts w:ascii="Arial" w:hAnsi="Arial" w:cs="Arial"/>
                <w:b/>
                <w:sz w:val="20"/>
                <w:szCs w:val="20"/>
              </w:rPr>
              <w:t xml:space="preserve">Table 2.  Recommended grid spacing correlation for developing lateral spread displacement reference maps. </w:t>
            </w:r>
          </w:p>
          <w:p w:rsidR="000C209F" w:rsidRDefault="000C209F" w:rsidP="00360664">
            <w:pPr>
              <w:spacing w:after="0" w:line="240" w:lineRule="auto"/>
              <w:rPr>
                <w:rFonts w:ascii="Arial" w:hAnsi="Arial" w:cs="Arial"/>
                <w:sz w:val="20"/>
                <w:szCs w:val="20"/>
              </w:rPr>
            </w:pPr>
          </w:p>
          <w:tbl>
            <w:tblPr>
              <w:tblW w:w="3636" w:type="dxa"/>
              <w:jc w:val="center"/>
              <w:tblLook w:val="04A0" w:firstRow="1" w:lastRow="0" w:firstColumn="1" w:lastColumn="0" w:noHBand="0" w:noVBand="1"/>
            </w:tblPr>
            <w:tblGrid>
              <w:gridCol w:w="1502"/>
              <w:gridCol w:w="1572"/>
              <w:gridCol w:w="1572"/>
            </w:tblGrid>
            <w:tr w:rsidR="00F93966" w:rsidRPr="005D7BC1" w:rsidTr="00A34F78">
              <w:trPr>
                <w:trHeight w:val="872"/>
                <w:jc w:val="center"/>
              </w:trPr>
              <w:tc>
                <w:tcPr>
                  <w:tcW w:w="1502" w:type="dxa"/>
                  <w:tcBorders>
                    <w:top w:val="single" w:sz="4" w:space="0" w:color="auto"/>
                    <w:left w:val="nil"/>
                    <w:bottom w:val="double" w:sz="6" w:space="0" w:color="auto"/>
                    <w:right w:val="nil"/>
                  </w:tcBorders>
                  <w:shd w:val="clear" w:color="auto" w:fill="auto"/>
                  <w:noWrap/>
                  <w:vAlign w:val="center"/>
                  <w:hideMark/>
                </w:tcPr>
                <w:p w:rsidR="00F93966" w:rsidRPr="00777E11" w:rsidRDefault="00F93966" w:rsidP="00A34F78">
                  <w:pPr>
                    <w:spacing w:line="240" w:lineRule="auto"/>
                    <w:jc w:val="center"/>
                    <w:rPr>
                      <w:i/>
                      <w:color w:val="000000"/>
                      <w:szCs w:val="24"/>
                    </w:rPr>
                  </w:pPr>
                  <w:r w:rsidRPr="00777E11">
                    <w:rPr>
                      <w:i/>
                      <w:color w:val="000000"/>
                      <w:szCs w:val="24"/>
                    </w:rPr>
                    <w:t>PGA</w:t>
                  </w:r>
                </w:p>
              </w:tc>
              <w:tc>
                <w:tcPr>
                  <w:tcW w:w="1067" w:type="dxa"/>
                  <w:tcBorders>
                    <w:top w:val="single" w:sz="4" w:space="0" w:color="auto"/>
                    <w:left w:val="nil"/>
                    <w:bottom w:val="double" w:sz="6" w:space="0" w:color="auto"/>
                    <w:right w:val="nil"/>
                  </w:tcBorders>
                  <w:shd w:val="clear" w:color="auto" w:fill="auto"/>
                  <w:noWrap/>
                  <w:vAlign w:val="center"/>
                  <w:hideMark/>
                </w:tcPr>
                <w:p w:rsidR="00F93966" w:rsidRDefault="00F93966" w:rsidP="00A34F78">
                  <w:pPr>
                    <w:spacing w:line="240" w:lineRule="auto"/>
                    <w:jc w:val="center"/>
                    <w:rPr>
                      <w:color w:val="000000"/>
                      <w:szCs w:val="24"/>
                    </w:rPr>
                  </w:pPr>
                  <w:r>
                    <w:rPr>
                      <w:color w:val="000000"/>
                      <w:szCs w:val="24"/>
                    </w:rPr>
                    <w:t>Recommended Spacing</w:t>
                  </w:r>
                </w:p>
                <w:p w:rsidR="00F93966" w:rsidRPr="005D7BC1" w:rsidRDefault="00F93966" w:rsidP="00A34F78">
                  <w:pPr>
                    <w:spacing w:line="240" w:lineRule="auto"/>
                    <w:jc w:val="center"/>
                    <w:rPr>
                      <w:color w:val="000000"/>
                      <w:szCs w:val="24"/>
                    </w:rPr>
                  </w:pPr>
                  <w:r>
                    <w:rPr>
                      <w:color w:val="000000"/>
                      <w:szCs w:val="24"/>
                    </w:rPr>
                    <w:t>(km)</w:t>
                  </w:r>
                </w:p>
              </w:tc>
              <w:tc>
                <w:tcPr>
                  <w:tcW w:w="1067" w:type="dxa"/>
                  <w:tcBorders>
                    <w:top w:val="single" w:sz="4" w:space="0" w:color="auto"/>
                    <w:left w:val="nil"/>
                    <w:bottom w:val="double" w:sz="6" w:space="0" w:color="auto"/>
                    <w:right w:val="nil"/>
                  </w:tcBorders>
                  <w:shd w:val="clear" w:color="auto" w:fill="auto"/>
                  <w:noWrap/>
                  <w:vAlign w:val="center"/>
                  <w:hideMark/>
                </w:tcPr>
                <w:p w:rsidR="00F93966" w:rsidRDefault="00F93966" w:rsidP="00A34F78">
                  <w:pPr>
                    <w:spacing w:line="240" w:lineRule="auto"/>
                    <w:jc w:val="center"/>
                    <w:rPr>
                      <w:color w:val="000000"/>
                      <w:szCs w:val="24"/>
                    </w:rPr>
                  </w:pPr>
                  <w:r>
                    <w:rPr>
                      <w:color w:val="000000"/>
                      <w:szCs w:val="24"/>
                    </w:rPr>
                    <w:t xml:space="preserve">Recommended Spacing </w:t>
                  </w:r>
                </w:p>
                <w:p w:rsidR="00F93966" w:rsidRPr="005D7BC1" w:rsidRDefault="00F93966" w:rsidP="00A34F78">
                  <w:pPr>
                    <w:spacing w:line="240" w:lineRule="auto"/>
                    <w:jc w:val="center"/>
                    <w:rPr>
                      <w:color w:val="000000"/>
                      <w:szCs w:val="24"/>
                    </w:rPr>
                  </w:pPr>
                  <w:r>
                    <w:rPr>
                      <w:color w:val="000000"/>
                      <w:szCs w:val="24"/>
                    </w:rPr>
                    <w:t>(mi)</w:t>
                  </w:r>
                </w:p>
              </w:tc>
            </w:tr>
            <w:tr w:rsidR="00F93966" w:rsidRPr="005D7BC1" w:rsidTr="00A34F78">
              <w:trPr>
                <w:trHeight w:val="405"/>
                <w:jc w:val="center"/>
              </w:trPr>
              <w:tc>
                <w:tcPr>
                  <w:tcW w:w="1502"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0 - 0.04</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25</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15.6</w:t>
                  </w:r>
                </w:p>
              </w:tc>
            </w:tr>
            <w:tr w:rsidR="00F93966" w:rsidRPr="005D7BC1" w:rsidTr="00A34F78">
              <w:trPr>
                <w:trHeight w:val="385"/>
                <w:jc w:val="center"/>
              </w:trPr>
              <w:tc>
                <w:tcPr>
                  <w:tcW w:w="1502"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0.04 - 0.08</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20</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12.5</w:t>
                  </w:r>
                </w:p>
              </w:tc>
            </w:tr>
            <w:tr w:rsidR="00F93966" w:rsidRPr="005D7BC1" w:rsidTr="00A34F78">
              <w:trPr>
                <w:trHeight w:val="385"/>
                <w:jc w:val="center"/>
              </w:trPr>
              <w:tc>
                <w:tcPr>
                  <w:tcW w:w="1502"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0.08 - 0.16</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15</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9.4</w:t>
                  </w:r>
                </w:p>
              </w:tc>
            </w:tr>
            <w:tr w:rsidR="00F93966" w:rsidRPr="005D7BC1" w:rsidTr="00A34F78">
              <w:trPr>
                <w:trHeight w:val="385"/>
                <w:jc w:val="center"/>
              </w:trPr>
              <w:tc>
                <w:tcPr>
                  <w:tcW w:w="1502"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0.16 - 0.32</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12</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7.5</w:t>
                  </w:r>
                </w:p>
              </w:tc>
            </w:tr>
            <w:tr w:rsidR="00F93966" w:rsidRPr="005D7BC1" w:rsidTr="00A34F78">
              <w:trPr>
                <w:trHeight w:val="385"/>
                <w:jc w:val="center"/>
              </w:trPr>
              <w:tc>
                <w:tcPr>
                  <w:tcW w:w="1502"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0.32 - 0.48</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10</w:t>
                  </w:r>
                </w:p>
              </w:tc>
              <w:tc>
                <w:tcPr>
                  <w:tcW w:w="1067" w:type="dxa"/>
                  <w:tcBorders>
                    <w:top w:val="nil"/>
                    <w:left w:val="nil"/>
                    <w:bottom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6.3</w:t>
                  </w:r>
                </w:p>
              </w:tc>
            </w:tr>
            <w:tr w:rsidR="00F93966" w:rsidRPr="005D7BC1" w:rsidTr="00A34F78">
              <w:trPr>
                <w:trHeight w:val="385"/>
                <w:jc w:val="center"/>
              </w:trPr>
              <w:tc>
                <w:tcPr>
                  <w:tcW w:w="1502" w:type="dxa"/>
                  <w:tcBorders>
                    <w:top w:val="nil"/>
                    <w:left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0.48 - 0.64</w:t>
                  </w:r>
                </w:p>
              </w:tc>
              <w:tc>
                <w:tcPr>
                  <w:tcW w:w="1067" w:type="dxa"/>
                  <w:tcBorders>
                    <w:top w:val="nil"/>
                    <w:left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7</w:t>
                  </w:r>
                </w:p>
              </w:tc>
              <w:tc>
                <w:tcPr>
                  <w:tcW w:w="1067" w:type="dxa"/>
                  <w:tcBorders>
                    <w:top w:val="nil"/>
                    <w:left w:val="nil"/>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4.4</w:t>
                  </w:r>
                </w:p>
              </w:tc>
            </w:tr>
            <w:tr w:rsidR="00F93966" w:rsidRPr="005D7BC1" w:rsidTr="00A34F78">
              <w:trPr>
                <w:trHeight w:val="405"/>
                <w:jc w:val="center"/>
              </w:trPr>
              <w:tc>
                <w:tcPr>
                  <w:tcW w:w="1502" w:type="dxa"/>
                  <w:tcBorders>
                    <w:top w:val="nil"/>
                    <w:left w:val="nil"/>
                    <w:bottom w:val="single" w:sz="4" w:space="0" w:color="auto"/>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0.64+</w:t>
                  </w:r>
                </w:p>
              </w:tc>
              <w:tc>
                <w:tcPr>
                  <w:tcW w:w="1067" w:type="dxa"/>
                  <w:tcBorders>
                    <w:top w:val="nil"/>
                    <w:left w:val="nil"/>
                    <w:bottom w:val="single" w:sz="4" w:space="0" w:color="auto"/>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sidRPr="005D7BC1">
                    <w:rPr>
                      <w:color w:val="000000"/>
                      <w:szCs w:val="24"/>
                    </w:rPr>
                    <w:t>4</w:t>
                  </w:r>
                </w:p>
              </w:tc>
              <w:tc>
                <w:tcPr>
                  <w:tcW w:w="1067" w:type="dxa"/>
                  <w:tcBorders>
                    <w:top w:val="nil"/>
                    <w:left w:val="nil"/>
                    <w:bottom w:val="single" w:sz="4" w:space="0" w:color="auto"/>
                    <w:right w:val="nil"/>
                  </w:tcBorders>
                  <w:shd w:val="clear" w:color="auto" w:fill="auto"/>
                  <w:noWrap/>
                  <w:vAlign w:val="center"/>
                  <w:hideMark/>
                </w:tcPr>
                <w:p w:rsidR="00F93966" w:rsidRPr="005D7BC1" w:rsidRDefault="00F93966" w:rsidP="00A34F78">
                  <w:pPr>
                    <w:spacing w:line="240" w:lineRule="auto"/>
                    <w:jc w:val="center"/>
                    <w:rPr>
                      <w:color w:val="000000"/>
                      <w:szCs w:val="24"/>
                    </w:rPr>
                  </w:pPr>
                  <w:r>
                    <w:rPr>
                      <w:color w:val="000000"/>
                      <w:szCs w:val="24"/>
                    </w:rPr>
                    <w:t>2.5</w:t>
                  </w:r>
                </w:p>
              </w:tc>
            </w:tr>
          </w:tbl>
          <w:p w:rsidR="000C209F" w:rsidRDefault="000C209F" w:rsidP="00360664">
            <w:pPr>
              <w:spacing w:after="0" w:line="240" w:lineRule="auto"/>
              <w:rPr>
                <w:rFonts w:ascii="Arial" w:hAnsi="Arial" w:cs="Arial"/>
                <w:b/>
                <w:sz w:val="20"/>
                <w:szCs w:val="20"/>
              </w:rPr>
            </w:pPr>
          </w:p>
          <w:p w:rsidR="00BA08C8" w:rsidRDefault="00BA08C8" w:rsidP="00360664">
            <w:pPr>
              <w:spacing w:after="0" w:line="240" w:lineRule="auto"/>
              <w:rPr>
                <w:rFonts w:ascii="Arial" w:hAnsi="Arial" w:cs="Arial"/>
                <w:b/>
                <w:sz w:val="20"/>
                <w:szCs w:val="20"/>
              </w:rPr>
            </w:pPr>
          </w:p>
          <w:p w:rsidR="00F93966" w:rsidRDefault="00F93966">
            <w:pPr>
              <w:spacing w:after="0" w:line="240" w:lineRule="auto"/>
              <w:rPr>
                <w:rFonts w:ascii="Arial" w:hAnsi="Arial" w:cs="Arial"/>
                <w:sz w:val="20"/>
                <w:szCs w:val="20"/>
              </w:rPr>
            </w:pPr>
            <w:r>
              <w:rPr>
                <w:rFonts w:ascii="Arial" w:hAnsi="Arial" w:cs="Arial"/>
                <w:sz w:val="20"/>
                <w:szCs w:val="20"/>
              </w:rPr>
              <w:t xml:space="preserve">Using the correlations presented above, liquefaction triggering parameter/loading maps were developed using the Cetin et al. (2004) and Boulanger and </w:t>
            </w:r>
            <w:proofErr w:type="spellStart"/>
            <w:r>
              <w:rPr>
                <w:rFonts w:ascii="Arial" w:hAnsi="Arial" w:cs="Arial"/>
                <w:sz w:val="20"/>
                <w:szCs w:val="20"/>
              </w:rPr>
              <w:t>Idriss</w:t>
            </w:r>
            <w:proofErr w:type="spellEnd"/>
            <w:r>
              <w:rPr>
                <w:rFonts w:ascii="Arial" w:hAnsi="Arial" w:cs="Arial"/>
                <w:sz w:val="20"/>
                <w:szCs w:val="20"/>
              </w:rPr>
              <w:t xml:space="preserve"> (2014) probabilistic models for the states supporting the study. Maps were developed at three target return periods: 475, 1033, and 2475 years. Lateral spread displacement reference maps were also developed using the Youd et al. (2002) empirical model for the states supporting the study. These maps were also developing at the target return periods of 475, 1033, and 2475 years. Both hard (pdf) and soft (ArcGIS raster </w:t>
            </w:r>
            <w:proofErr w:type="spellStart"/>
            <w:r>
              <w:rPr>
                <w:rFonts w:ascii="Arial" w:hAnsi="Arial" w:cs="Arial"/>
                <w:sz w:val="20"/>
                <w:szCs w:val="20"/>
              </w:rPr>
              <w:t>shapefiles</w:t>
            </w:r>
            <w:proofErr w:type="spellEnd"/>
            <w:r>
              <w:rPr>
                <w:rFonts w:ascii="Arial" w:hAnsi="Arial" w:cs="Arial"/>
                <w:sz w:val="20"/>
                <w:szCs w:val="20"/>
              </w:rPr>
              <w:t xml:space="preserve">) </w:t>
            </w:r>
            <w:r>
              <w:rPr>
                <w:rFonts w:ascii="Arial" w:hAnsi="Arial" w:cs="Arial"/>
                <w:sz w:val="20"/>
                <w:szCs w:val="20"/>
              </w:rPr>
              <w:lastRenderedPageBreak/>
              <w:t xml:space="preserve">were provided to the TAC. Samples of these developed maps can be obtained from the </w:t>
            </w:r>
            <w:r w:rsidR="0057136C">
              <w:rPr>
                <w:rFonts w:ascii="Arial" w:hAnsi="Arial" w:cs="Arial"/>
                <w:sz w:val="20"/>
                <w:szCs w:val="20"/>
              </w:rPr>
              <w:t xml:space="preserve">TAC </w:t>
            </w:r>
            <w:r>
              <w:rPr>
                <w:rFonts w:ascii="Arial" w:hAnsi="Arial" w:cs="Arial"/>
                <w:sz w:val="20"/>
                <w:szCs w:val="20"/>
              </w:rPr>
              <w:t xml:space="preserve">quarterly </w:t>
            </w:r>
            <w:r w:rsidR="0057136C">
              <w:rPr>
                <w:rFonts w:ascii="Arial" w:hAnsi="Arial" w:cs="Arial"/>
                <w:sz w:val="20"/>
                <w:szCs w:val="20"/>
              </w:rPr>
              <w:t xml:space="preserve">update </w:t>
            </w:r>
            <w:r>
              <w:rPr>
                <w:rFonts w:ascii="Arial" w:hAnsi="Arial" w:cs="Arial"/>
                <w:sz w:val="20"/>
                <w:szCs w:val="20"/>
              </w:rPr>
              <w:t xml:space="preserve">report for the project and its corresponding appendices. </w:t>
            </w:r>
          </w:p>
          <w:p w:rsidR="00F93966" w:rsidRPr="00CC401B" w:rsidRDefault="00F939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F93966" w:rsidP="00360664">
            <w:pPr>
              <w:spacing w:after="0" w:line="240" w:lineRule="auto"/>
              <w:rPr>
                <w:rFonts w:ascii="Arial" w:hAnsi="Arial" w:cs="Arial"/>
                <w:sz w:val="20"/>
                <w:szCs w:val="20"/>
              </w:rPr>
            </w:pPr>
            <w:r>
              <w:rPr>
                <w:rFonts w:ascii="Arial" w:hAnsi="Arial" w:cs="Arial"/>
                <w:sz w:val="20"/>
                <w:szCs w:val="20"/>
              </w:rPr>
              <w:t xml:space="preserve">None. </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6168C2" w:rsidRPr="00360664" w:rsidRDefault="006168C2" w:rsidP="00360664">
            <w:pPr>
              <w:spacing w:after="0" w:line="240" w:lineRule="auto"/>
              <w:rPr>
                <w:rFonts w:ascii="Arial" w:hAnsi="Arial" w:cs="Arial"/>
                <w:sz w:val="20"/>
                <w:szCs w:val="20"/>
              </w:rPr>
            </w:pPr>
            <w:r>
              <w:rPr>
                <w:rFonts w:ascii="Arial" w:hAnsi="Arial" w:cs="Arial"/>
                <w:sz w:val="20"/>
                <w:szCs w:val="20"/>
              </w:rPr>
              <w:t>With the simplified performance-based liquefaction triggering and lateral spread displacement procedures and the</w:t>
            </w:r>
            <w:r w:rsidR="00F93966">
              <w:rPr>
                <w:rFonts w:ascii="Arial" w:hAnsi="Arial" w:cs="Arial"/>
                <w:sz w:val="20"/>
                <w:szCs w:val="20"/>
              </w:rPr>
              <w:t xml:space="preserve"> developed reference maps,</w:t>
            </w:r>
            <w:r>
              <w:rPr>
                <w:rFonts w:ascii="Arial" w:hAnsi="Arial" w:cs="Arial"/>
                <w:sz w:val="20"/>
                <w:szCs w:val="20"/>
              </w:rPr>
              <w:t xml:space="preserve"> engineers c</w:t>
            </w:r>
            <w:r w:rsidR="00F93966">
              <w:rPr>
                <w:rFonts w:ascii="Arial" w:hAnsi="Arial" w:cs="Arial"/>
                <w:sz w:val="20"/>
                <w:szCs w:val="20"/>
              </w:rPr>
              <w:t>an now</w:t>
            </w:r>
            <w:r>
              <w:rPr>
                <w:rFonts w:ascii="Arial" w:hAnsi="Arial" w:cs="Arial"/>
                <w:sz w:val="20"/>
                <w:szCs w:val="20"/>
              </w:rPr>
              <w:t xml:space="preserve"> immediately implement these</w:t>
            </w:r>
            <w:r w:rsidR="00AA72F5">
              <w:rPr>
                <w:rFonts w:ascii="Arial" w:hAnsi="Arial" w:cs="Arial"/>
                <w:sz w:val="20"/>
                <w:szCs w:val="20"/>
              </w:rPr>
              <w:t xml:space="preserve"> procedures into practice for their site(s) of interest. Future tasks in this project will </w:t>
            </w:r>
            <w:r w:rsidR="00F93966">
              <w:rPr>
                <w:rFonts w:ascii="Arial" w:hAnsi="Arial" w:cs="Arial"/>
                <w:sz w:val="20"/>
                <w:szCs w:val="20"/>
              </w:rPr>
              <w:t>investigate how deterministic evaluation may provide a liquefaction hazard “cap” in areas of high seismicity, and will begin development of a simplified user spreadsheet to implement these simplified performance-based methods</w:t>
            </w:r>
            <w:r w:rsidR="00AA72F5">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F0" w:rsidRDefault="00DC6DF0" w:rsidP="00106C83">
      <w:pPr>
        <w:spacing w:after="0" w:line="240" w:lineRule="auto"/>
      </w:pPr>
      <w:r>
        <w:separator/>
      </w:r>
    </w:p>
  </w:endnote>
  <w:endnote w:type="continuationSeparator" w:id="0">
    <w:p w:rsidR="00DC6DF0" w:rsidRDefault="00DC6DF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A3" w:rsidRDefault="002A61A3" w:rsidP="00E371D1">
    <w:pPr>
      <w:pStyle w:val="Footer"/>
      <w:ind w:left="-810"/>
    </w:pPr>
    <w:r>
      <w:t>TPF Program Standard Quarterly Reporting Format – 7/2011</w:t>
    </w:r>
  </w:p>
  <w:p w:rsidR="002A61A3" w:rsidRDefault="002A6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F0" w:rsidRDefault="00DC6DF0" w:rsidP="00106C83">
      <w:pPr>
        <w:spacing w:after="0" w:line="240" w:lineRule="auto"/>
      </w:pPr>
      <w:r>
        <w:separator/>
      </w:r>
    </w:p>
  </w:footnote>
  <w:footnote w:type="continuationSeparator" w:id="0">
    <w:p w:rsidR="00DC6DF0" w:rsidRDefault="00DC6DF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335CC"/>
    <w:rsid w:val="000342EB"/>
    <w:rsid w:val="00035DAD"/>
    <w:rsid w:val="00037FBC"/>
    <w:rsid w:val="00040795"/>
    <w:rsid w:val="000452C8"/>
    <w:rsid w:val="00045C7E"/>
    <w:rsid w:val="00046DCA"/>
    <w:rsid w:val="00060908"/>
    <w:rsid w:val="00060DDA"/>
    <w:rsid w:val="00061A91"/>
    <w:rsid w:val="000632E0"/>
    <w:rsid w:val="00064DBC"/>
    <w:rsid w:val="00065B11"/>
    <w:rsid w:val="00071797"/>
    <w:rsid w:val="000736BB"/>
    <w:rsid w:val="00074656"/>
    <w:rsid w:val="0007547B"/>
    <w:rsid w:val="0008172C"/>
    <w:rsid w:val="00086047"/>
    <w:rsid w:val="00087DC0"/>
    <w:rsid w:val="000A0D23"/>
    <w:rsid w:val="000A7C22"/>
    <w:rsid w:val="000B1557"/>
    <w:rsid w:val="000B665A"/>
    <w:rsid w:val="000C209F"/>
    <w:rsid w:val="000C4AC9"/>
    <w:rsid w:val="000C65A5"/>
    <w:rsid w:val="000D1273"/>
    <w:rsid w:val="000D6962"/>
    <w:rsid w:val="000E112D"/>
    <w:rsid w:val="000E1C3A"/>
    <w:rsid w:val="000F489B"/>
    <w:rsid w:val="000F752B"/>
    <w:rsid w:val="000F7DCA"/>
    <w:rsid w:val="00103835"/>
    <w:rsid w:val="00106C83"/>
    <w:rsid w:val="001147C8"/>
    <w:rsid w:val="00121037"/>
    <w:rsid w:val="00122DE0"/>
    <w:rsid w:val="001336E7"/>
    <w:rsid w:val="001428DF"/>
    <w:rsid w:val="001429F4"/>
    <w:rsid w:val="001536F4"/>
    <w:rsid w:val="001547D0"/>
    <w:rsid w:val="00161153"/>
    <w:rsid w:val="00164E36"/>
    <w:rsid w:val="00165AF3"/>
    <w:rsid w:val="0018433C"/>
    <w:rsid w:val="00186107"/>
    <w:rsid w:val="00186B05"/>
    <w:rsid w:val="00190459"/>
    <w:rsid w:val="00191F1F"/>
    <w:rsid w:val="00194CD6"/>
    <w:rsid w:val="00197E96"/>
    <w:rsid w:val="001A1210"/>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2101B"/>
    <w:rsid w:val="00221214"/>
    <w:rsid w:val="0023315F"/>
    <w:rsid w:val="00236E81"/>
    <w:rsid w:val="00237469"/>
    <w:rsid w:val="002416F6"/>
    <w:rsid w:val="00243FCC"/>
    <w:rsid w:val="002442E9"/>
    <w:rsid w:val="00245D5B"/>
    <w:rsid w:val="0025100B"/>
    <w:rsid w:val="002661B7"/>
    <w:rsid w:val="00271658"/>
    <w:rsid w:val="00272964"/>
    <w:rsid w:val="002742C3"/>
    <w:rsid w:val="002765D0"/>
    <w:rsid w:val="00281C9D"/>
    <w:rsid w:val="00285DA3"/>
    <w:rsid w:val="00291F1C"/>
    <w:rsid w:val="0029327C"/>
    <w:rsid w:val="002936D0"/>
    <w:rsid w:val="00293FD8"/>
    <w:rsid w:val="002A0E0A"/>
    <w:rsid w:val="002A61A3"/>
    <w:rsid w:val="002A79C8"/>
    <w:rsid w:val="002B1447"/>
    <w:rsid w:val="002B56F3"/>
    <w:rsid w:val="002B708D"/>
    <w:rsid w:val="002B7515"/>
    <w:rsid w:val="002C2F72"/>
    <w:rsid w:val="002C4321"/>
    <w:rsid w:val="002C6E75"/>
    <w:rsid w:val="002D353E"/>
    <w:rsid w:val="002D60CF"/>
    <w:rsid w:val="002E5C07"/>
    <w:rsid w:val="002F3D8F"/>
    <w:rsid w:val="002F44FD"/>
    <w:rsid w:val="002F66FD"/>
    <w:rsid w:val="00303BFD"/>
    <w:rsid w:val="003133E9"/>
    <w:rsid w:val="0031390E"/>
    <w:rsid w:val="00315011"/>
    <w:rsid w:val="00315979"/>
    <w:rsid w:val="00317414"/>
    <w:rsid w:val="00321691"/>
    <w:rsid w:val="003227F0"/>
    <w:rsid w:val="00327AC3"/>
    <w:rsid w:val="00332429"/>
    <w:rsid w:val="003372CD"/>
    <w:rsid w:val="00337E98"/>
    <w:rsid w:val="00340B50"/>
    <w:rsid w:val="00341D76"/>
    <w:rsid w:val="00346691"/>
    <w:rsid w:val="00360664"/>
    <w:rsid w:val="00362F45"/>
    <w:rsid w:val="003630A0"/>
    <w:rsid w:val="003634EC"/>
    <w:rsid w:val="00366877"/>
    <w:rsid w:val="00374D25"/>
    <w:rsid w:val="00382110"/>
    <w:rsid w:val="0038529F"/>
    <w:rsid w:val="00386FBE"/>
    <w:rsid w:val="0038705A"/>
    <w:rsid w:val="00395A48"/>
    <w:rsid w:val="003B3175"/>
    <w:rsid w:val="003B3781"/>
    <w:rsid w:val="003B7379"/>
    <w:rsid w:val="003C239E"/>
    <w:rsid w:val="003C2CCC"/>
    <w:rsid w:val="003D1430"/>
    <w:rsid w:val="003D6A0B"/>
    <w:rsid w:val="003E0A8C"/>
    <w:rsid w:val="003E43F0"/>
    <w:rsid w:val="003E4DE4"/>
    <w:rsid w:val="003E5DCB"/>
    <w:rsid w:val="003F462A"/>
    <w:rsid w:val="00401351"/>
    <w:rsid w:val="00406380"/>
    <w:rsid w:val="00407984"/>
    <w:rsid w:val="004144E6"/>
    <w:rsid w:val="004156B2"/>
    <w:rsid w:val="00432286"/>
    <w:rsid w:val="0043487E"/>
    <w:rsid w:val="00437734"/>
    <w:rsid w:val="004377DD"/>
    <w:rsid w:val="00437E79"/>
    <w:rsid w:val="004519D7"/>
    <w:rsid w:val="0045218A"/>
    <w:rsid w:val="00452515"/>
    <w:rsid w:val="00455A67"/>
    <w:rsid w:val="0046217B"/>
    <w:rsid w:val="00463EA1"/>
    <w:rsid w:val="00476BA3"/>
    <w:rsid w:val="004828D8"/>
    <w:rsid w:val="004846CC"/>
    <w:rsid w:val="004913CE"/>
    <w:rsid w:val="00492C17"/>
    <w:rsid w:val="004974E1"/>
    <w:rsid w:val="004A3ABB"/>
    <w:rsid w:val="004A5173"/>
    <w:rsid w:val="004B3E34"/>
    <w:rsid w:val="004D5EEE"/>
    <w:rsid w:val="004D6151"/>
    <w:rsid w:val="004D6DF5"/>
    <w:rsid w:val="004E14DC"/>
    <w:rsid w:val="004E4A6C"/>
    <w:rsid w:val="004E771A"/>
    <w:rsid w:val="004F586D"/>
    <w:rsid w:val="005030A0"/>
    <w:rsid w:val="00504F10"/>
    <w:rsid w:val="005077FE"/>
    <w:rsid w:val="00511F24"/>
    <w:rsid w:val="00511FD0"/>
    <w:rsid w:val="00512783"/>
    <w:rsid w:val="005130F7"/>
    <w:rsid w:val="005135ED"/>
    <w:rsid w:val="00517E74"/>
    <w:rsid w:val="00520070"/>
    <w:rsid w:val="00526BB3"/>
    <w:rsid w:val="00532264"/>
    <w:rsid w:val="00534F97"/>
    <w:rsid w:val="00535598"/>
    <w:rsid w:val="00535AE5"/>
    <w:rsid w:val="00547870"/>
    <w:rsid w:val="00547EE3"/>
    <w:rsid w:val="0055178A"/>
    <w:rsid w:val="00551D8A"/>
    <w:rsid w:val="00567605"/>
    <w:rsid w:val="0057047E"/>
    <w:rsid w:val="0057136C"/>
    <w:rsid w:val="00574EA0"/>
    <w:rsid w:val="00577067"/>
    <w:rsid w:val="00581B36"/>
    <w:rsid w:val="0058363E"/>
    <w:rsid w:val="00583E8E"/>
    <w:rsid w:val="00587908"/>
    <w:rsid w:val="00591AF5"/>
    <w:rsid w:val="0059636D"/>
    <w:rsid w:val="005A0EC0"/>
    <w:rsid w:val="005A16F8"/>
    <w:rsid w:val="005A4E82"/>
    <w:rsid w:val="005B4511"/>
    <w:rsid w:val="005B4745"/>
    <w:rsid w:val="005C2C1F"/>
    <w:rsid w:val="005C75FE"/>
    <w:rsid w:val="005D25B4"/>
    <w:rsid w:val="005D3419"/>
    <w:rsid w:val="005D567C"/>
    <w:rsid w:val="00601EBD"/>
    <w:rsid w:val="00602A2F"/>
    <w:rsid w:val="00603F07"/>
    <w:rsid w:val="006073E2"/>
    <w:rsid w:val="00611C50"/>
    <w:rsid w:val="006168C2"/>
    <w:rsid w:val="00623262"/>
    <w:rsid w:val="00631D3F"/>
    <w:rsid w:val="006337FF"/>
    <w:rsid w:val="00640344"/>
    <w:rsid w:val="00641054"/>
    <w:rsid w:val="00657540"/>
    <w:rsid w:val="00670A8E"/>
    <w:rsid w:val="0068036E"/>
    <w:rsid w:val="00682C5E"/>
    <w:rsid w:val="00687192"/>
    <w:rsid w:val="006A7AC1"/>
    <w:rsid w:val="006B1998"/>
    <w:rsid w:val="006B42FE"/>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7493"/>
    <w:rsid w:val="00715C3B"/>
    <w:rsid w:val="00732659"/>
    <w:rsid w:val="00733FC5"/>
    <w:rsid w:val="00741D56"/>
    <w:rsid w:val="00743C01"/>
    <w:rsid w:val="007449D3"/>
    <w:rsid w:val="00754076"/>
    <w:rsid w:val="00755D8B"/>
    <w:rsid w:val="00756D70"/>
    <w:rsid w:val="007604EA"/>
    <w:rsid w:val="00763DDA"/>
    <w:rsid w:val="00770FD2"/>
    <w:rsid w:val="00774CA4"/>
    <w:rsid w:val="00777B5F"/>
    <w:rsid w:val="00790C4A"/>
    <w:rsid w:val="0079114B"/>
    <w:rsid w:val="007A4135"/>
    <w:rsid w:val="007B3CBC"/>
    <w:rsid w:val="007B5208"/>
    <w:rsid w:val="007B5EFC"/>
    <w:rsid w:val="007B7989"/>
    <w:rsid w:val="007C3363"/>
    <w:rsid w:val="007C480F"/>
    <w:rsid w:val="007D1439"/>
    <w:rsid w:val="007D18E0"/>
    <w:rsid w:val="007D27BC"/>
    <w:rsid w:val="007D2BB8"/>
    <w:rsid w:val="007D5CA9"/>
    <w:rsid w:val="007D695F"/>
    <w:rsid w:val="007E5BD2"/>
    <w:rsid w:val="007F0353"/>
    <w:rsid w:val="007F0BF1"/>
    <w:rsid w:val="007F4964"/>
    <w:rsid w:val="00800E72"/>
    <w:rsid w:val="00803CB4"/>
    <w:rsid w:val="008137D5"/>
    <w:rsid w:val="00814F16"/>
    <w:rsid w:val="008202B0"/>
    <w:rsid w:val="00821F4B"/>
    <w:rsid w:val="00822FE0"/>
    <w:rsid w:val="00826193"/>
    <w:rsid w:val="008273D7"/>
    <w:rsid w:val="00833757"/>
    <w:rsid w:val="00833D43"/>
    <w:rsid w:val="008451C1"/>
    <w:rsid w:val="00845B74"/>
    <w:rsid w:val="00851FDC"/>
    <w:rsid w:val="00863AD7"/>
    <w:rsid w:val="00864DD3"/>
    <w:rsid w:val="00866277"/>
    <w:rsid w:val="00867CFC"/>
    <w:rsid w:val="00872F18"/>
    <w:rsid w:val="008730EB"/>
    <w:rsid w:val="00874EF7"/>
    <w:rsid w:val="00883F30"/>
    <w:rsid w:val="008860BE"/>
    <w:rsid w:val="008A6693"/>
    <w:rsid w:val="008B3332"/>
    <w:rsid w:val="008B449D"/>
    <w:rsid w:val="008C22B3"/>
    <w:rsid w:val="008D06D3"/>
    <w:rsid w:val="008E57BB"/>
    <w:rsid w:val="008E6C4D"/>
    <w:rsid w:val="008E6F0C"/>
    <w:rsid w:val="008E75C5"/>
    <w:rsid w:val="008E7F29"/>
    <w:rsid w:val="008F5A12"/>
    <w:rsid w:val="008F7F87"/>
    <w:rsid w:val="00900981"/>
    <w:rsid w:val="0091609B"/>
    <w:rsid w:val="0092091E"/>
    <w:rsid w:val="009255A2"/>
    <w:rsid w:val="00926E5F"/>
    <w:rsid w:val="00930617"/>
    <w:rsid w:val="00931D5A"/>
    <w:rsid w:val="00935EEF"/>
    <w:rsid w:val="00936D01"/>
    <w:rsid w:val="00953F07"/>
    <w:rsid w:val="00957DF3"/>
    <w:rsid w:val="00974B55"/>
    <w:rsid w:val="00980874"/>
    <w:rsid w:val="0098654C"/>
    <w:rsid w:val="00990EA4"/>
    <w:rsid w:val="009944A4"/>
    <w:rsid w:val="00994743"/>
    <w:rsid w:val="00997B12"/>
    <w:rsid w:val="009A666B"/>
    <w:rsid w:val="009A76C8"/>
    <w:rsid w:val="009B0CE7"/>
    <w:rsid w:val="009B1790"/>
    <w:rsid w:val="009B2161"/>
    <w:rsid w:val="009B32D9"/>
    <w:rsid w:val="009B699B"/>
    <w:rsid w:val="009B6BB8"/>
    <w:rsid w:val="009C3C41"/>
    <w:rsid w:val="009E245A"/>
    <w:rsid w:val="009E7D89"/>
    <w:rsid w:val="009F1434"/>
    <w:rsid w:val="009F753A"/>
    <w:rsid w:val="00A17DA3"/>
    <w:rsid w:val="00A21B03"/>
    <w:rsid w:val="00A2219C"/>
    <w:rsid w:val="00A26E0B"/>
    <w:rsid w:val="00A34F1F"/>
    <w:rsid w:val="00A41C8E"/>
    <w:rsid w:val="00A4212B"/>
    <w:rsid w:val="00A43875"/>
    <w:rsid w:val="00A4439C"/>
    <w:rsid w:val="00A45297"/>
    <w:rsid w:val="00A464CB"/>
    <w:rsid w:val="00A50219"/>
    <w:rsid w:val="00A515F5"/>
    <w:rsid w:val="00A52629"/>
    <w:rsid w:val="00A63677"/>
    <w:rsid w:val="00A64232"/>
    <w:rsid w:val="00A77243"/>
    <w:rsid w:val="00A937D9"/>
    <w:rsid w:val="00AA72F5"/>
    <w:rsid w:val="00AB0016"/>
    <w:rsid w:val="00AB1B0F"/>
    <w:rsid w:val="00AB3E7F"/>
    <w:rsid w:val="00AB7C11"/>
    <w:rsid w:val="00AC5E5C"/>
    <w:rsid w:val="00AE185D"/>
    <w:rsid w:val="00AE2045"/>
    <w:rsid w:val="00AE46B0"/>
    <w:rsid w:val="00AE628E"/>
    <w:rsid w:val="00AF15B9"/>
    <w:rsid w:val="00AF4849"/>
    <w:rsid w:val="00AF5252"/>
    <w:rsid w:val="00B02CE3"/>
    <w:rsid w:val="00B052C3"/>
    <w:rsid w:val="00B12771"/>
    <w:rsid w:val="00B2185C"/>
    <w:rsid w:val="00B265C0"/>
    <w:rsid w:val="00B30F4C"/>
    <w:rsid w:val="00B367BE"/>
    <w:rsid w:val="00B44C2D"/>
    <w:rsid w:val="00B45A07"/>
    <w:rsid w:val="00B46767"/>
    <w:rsid w:val="00B46D2F"/>
    <w:rsid w:val="00B47884"/>
    <w:rsid w:val="00B47C54"/>
    <w:rsid w:val="00B52061"/>
    <w:rsid w:val="00B52859"/>
    <w:rsid w:val="00B53C27"/>
    <w:rsid w:val="00B61EC4"/>
    <w:rsid w:val="00B649D5"/>
    <w:rsid w:val="00B65E0D"/>
    <w:rsid w:val="00B66A21"/>
    <w:rsid w:val="00B67C0D"/>
    <w:rsid w:val="00B73AA7"/>
    <w:rsid w:val="00B7626D"/>
    <w:rsid w:val="00B773E9"/>
    <w:rsid w:val="00B850D9"/>
    <w:rsid w:val="00B855FB"/>
    <w:rsid w:val="00B86D1B"/>
    <w:rsid w:val="00B9188E"/>
    <w:rsid w:val="00B94860"/>
    <w:rsid w:val="00B97F67"/>
    <w:rsid w:val="00BA08C8"/>
    <w:rsid w:val="00BA3C12"/>
    <w:rsid w:val="00BA5BF2"/>
    <w:rsid w:val="00BB2F20"/>
    <w:rsid w:val="00BB3628"/>
    <w:rsid w:val="00BB5AEE"/>
    <w:rsid w:val="00BC4290"/>
    <w:rsid w:val="00BD1068"/>
    <w:rsid w:val="00BD26AD"/>
    <w:rsid w:val="00BD56BC"/>
    <w:rsid w:val="00BD653C"/>
    <w:rsid w:val="00BE1A35"/>
    <w:rsid w:val="00BE30B7"/>
    <w:rsid w:val="00BF0BF7"/>
    <w:rsid w:val="00BF0C78"/>
    <w:rsid w:val="00BF26C7"/>
    <w:rsid w:val="00BF3A67"/>
    <w:rsid w:val="00BF5713"/>
    <w:rsid w:val="00BF59F6"/>
    <w:rsid w:val="00C07F95"/>
    <w:rsid w:val="00C1079D"/>
    <w:rsid w:val="00C10FE4"/>
    <w:rsid w:val="00C13753"/>
    <w:rsid w:val="00C1542A"/>
    <w:rsid w:val="00C26502"/>
    <w:rsid w:val="00C26570"/>
    <w:rsid w:val="00C353A0"/>
    <w:rsid w:val="00C36682"/>
    <w:rsid w:val="00C42324"/>
    <w:rsid w:val="00C478EA"/>
    <w:rsid w:val="00C47C4A"/>
    <w:rsid w:val="00C51E33"/>
    <w:rsid w:val="00C554E6"/>
    <w:rsid w:val="00C57074"/>
    <w:rsid w:val="00C673B0"/>
    <w:rsid w:val="00C81384"/>
    <w:rsid w:val="00C84D56"/>
    <w:rsid w:val="00C87783"/>
    <w:rsid w:val="00C944EC"/>
    <w:rsid w:val="00C96E11"/>
    <w:rsid w:val="00C973F7"/>
    <w:rsid w:val="00CA0F72"/>
    <w:rsid w:val="00CA1FBA"/>
    <w:rsid w:val="00CA24C5"/>
    <w:rsid w:val="00CA7BD3"/>
    <w:rsid w:val="00CB005D"/>
    <w:rsid w:val="00CB08A8"/>
    <w:rsid w:val="00CB1B4E"/>
    <w:rsid w:val="00CB67EA"/>
    <w:rsid w:val="00CB763E"/>
    <w:rsid w:val="00CC401B"/>
    <w:rsid w:val="00CC57BE"/>
    <w:rsid w:val="00CD00EA"/>
    <w:rsid w:val="00CD1B7E"/>
    <w:rsid w:val="00CE27F9"/>
    <w:rsid w:val="00CE2EA8"/>
    <w:rsid w:val="00CE6739"/>
    <w:rsid w:val="00CF0AE4"/>
    <w:rsid w:val="00CF7676"/>
    <w:rsid w:val="00D056BA"/>
    <w:rsid w:val="00D06294"/>
    <w:rsid w:val="00D07D43"/>
    <w:rsid w:val="00D10420"/>
    <w:rsid w:val="00D15B0D"/>
    <w:rsid w:val="00D20F0C"/>
    <w:rsid w:val="00D21FE0"/>
    <w:rsid w:val="00D2329A"/>
    <w:rsid w:val="00D25918"/>
    <w:rsid w:val="00D30C5D"/>
    <w:rsid w:val="00D33634"/>
    <w:rsid w:val="00D3591A"/>
    <w:rsid w:val="00D43FC8"/>
    <w:rsid w:val="00D73308"/>
    <w:rsid w:val="00D73367"/>
    <w:rsid w:val="00D74CFF"/>
    <w:rsid w:val="00D8797B"/>
    <w:rsid w:val="00D905D6"/>
    <w:rsid w:val="00D92CCD"/>
    <w:rsid w:val="00D9396F"/>
    <w:rsid w:val="00D97C29"/>
    <w:rsid w:val="00DA3DB5"/>
    <w:rsid w:val="00DA4AE9"/>
    <w:rsid w:val="00DB0E58"/>
    <w:rsid w:val="00DB66E9"/>
    <w:rsid w:val="00DC08E0"/>
    <w:rsid w:val="00DC6DF0"/>
    <w:rsid w:val="00DE1FDE"/>
    <w:rsid w:val="00DE2E58"/>
    <w:rsid w:val="00DE549E"/>
    <w:rsid w:val="00DF0220"/>
    <w:rsid w:val="00E003D2"/>
    <w:rsid w:val="00E04BD8"/>
    <w:rsid w:val="00E06D63"/>
    <w:rsid w:val="00E107BB"/>
    <w:rsid w:val="00E14146"/>
    <w:rsid w:val="00E22EA9"/>
    <w:rsid w:val="00E35E0F"/>
    <w:rsid w:val="00E36F6B"/>
    <w:rsid w:val="00E371D1"/>
    <w:rsid w:val="00E47EB2"/>
    <w:rsid w:val="00E53738"/>
    <w:rsid w:val="00E61227"/>
    <w:rsid w:val="00E65AB9"/>
    <w:rsid w:val="00E6710A"/>
    <w:rsid w:val="00E84F3B"/>
    <w:rsid w:val="00E919DB"/>
    <w:rsid w:val="00E92CC3"/>
    <w:rsid w:val="00E96594"/>
    <w:rsid w:val="00EA1C9E"/>
    <w:rsid w:val="00EA2676"/>
    <w:rsid w:val="00EA6697"/>
    <w:rsid w:val="00EA736A"/>
    <w:rsid w:val="00EB0DB3"/>
    <w:rsid w:val="00EB144C"/>
    <w:rsid w:val="00EB3A0C"/>
    <w:rsid w:val="00EC4414"/>
    <w:rsid w:val="00EC5178"/>
    <w:rsid w:val="00EC7DFE"/>
    <w:rsid w:val="00ED3FD5"/>
    <w:rsid w:val="00ED5F67"/>
    <w:rsid w:val="00EF0113"/>
    <w:rsid w:val="00EF08AE"/>
    <w:rsid w:val="00EF24DF"/>
    <w:rsid w:val="00EF2813"/>
    <w:rsid w:val="00EF480F"/>
    <w:rsid w:val="00EF4B63"/>
    <w:rsid w:val="00EF5790"/>
    <w:rsid w:val="00F03FD7"/>
    <w:rsid w:val="00F0602A"/>
    <w:rsid w:val="00F07349"/>
    <w:rsid w:val="00F12C6B"/>
    <w:rsid w:val="00F15F19"/>
    <w:rsid w:val="00F17EBA"/>
    <w:rsid w:val="00F23C32"/>
    <w:rsid w:val="00F40A56"/>
    <w:rsid w:val="00F44489"/>
    <w:rsid w:val="00F475EF"/>
    <w:rsid w:val="00F5003E"/>
    <w:rsid w:val="00F62E9D"/>
    <w:rsid w:val="00F7183A"/>
    <w:rsid w:val="00F75CDE"/>
    <w:rsid w:val="00F7756F"/>
    <w:rsid w:val="00F77B94"/>
    <w:rsid w:val="00F84450"/>
    <w:rsid w:val="00F84E5A"/>
    <w:rsid w:val="00F91EE4"/>
    <w:rsid w:val="00F93966"/>
    <w:rsid w:val="00FB001F"/>
    <w:rsid w:val="00FB1817"/>
    <w:rsid w:val="00FB7ED8"/>
    <w:rsid w:val="00FC2B72"/>
    <w:rsid w:val="00FC31CD"/>
    <w:rsid w:val="00FC3FB7"/>
    <w:rsid w:val="00FC7344"/>
    <w:rsid w:val="00FD0B6F"/>
    <w:rsid w:val="00FD13FB"/>
    <w:rsid w:val="00FD2F4A"/>
    <w:rsid w:val="00FD3F3F"/>
    <w:rsid w:val="00FE44F3"/>
    <w:rsid w:val="00FE58BF"/>
    <w:rsid w:val="00FE6F1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yperlink" Target="mailto:davidstevens@utah.gov" TargetMode="Externa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2" Type="http://schemas.microsoft.com/office/2007/relationships/stylesWithEffects" Target="stylesWithEffect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image" Target="media/image7.w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K\Research\Grid%20Spacing%20Study\Grid%20Spacing%20(Par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9301564577155"/>
          <c:y val="3.0683403068340307E-2"/>
          <c:w val="0.86116525207076389"/>
          <c:h val="0.80147926750146636"/>
        </c:manualLayout>
      </c:layout>
      <c:scatterChart>
        <c:scatterStyle val="lineMarker"/>
        <c:varyColors val="0"/>
        <c:ser>
          <c:idx val="2"/>
          <c:order val="0"/>
          <c:tx>
            <c:strRef>
              <c:f>'PGA correlation'!$Q$3</c:f>
              <c:strCache>
                <c:ptCount val="1"/>
                <c:pt idx="0">
                  <c:v>Based on %CSR with "Guesses" removed</c:v>
                </c:pt>
              </c:strCache>
            </c:strRef>
          </c:tx>
          <c:spPr>
            <a:ln w="19050">
              <a:noFill/>
            </a:ln>
          </c:spPr>
          <c:marker>
            <c:symbol val="circle"/>
            <c:size val="5"/>
            <c:spPr>
              <a:solidFill>
                <a:schemeClr val="tx1"/>
              </a:solidFill>
              <a:ln w="9525">
                <a:solidFill>
                  <a:schemeClr val="tx1"/>
                </a:solidFill>
              </a:ln>
              <a:effectLst/>
            </c:spPr>
          </c:marker>
          <c:dLbls>
            <c:dLbl>
              <c:idx val="0"/>
              <c:tx>
                <c:strRef>
                  <c:f>'PGA correlation'!$B$4</c:f>
                  <c:strCache>
                    <c:ptCount val="1"/>
                    <c:pt idx="0">
                      <c:v>UL Bend National Wildlife Refuge</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{13FE6428-BE7E-4A4F-B823-97F09FF5CBB3}</c15:txfldGUID>
                      <c15:f>'PGA correlation'!$B$4</c15:f>
                      <c15:dlblFieldTableCache>
                        <c:ptCount val="1"/>
                        <c:pt idx="0">
                          <c:v>UL Bend National Wildlife Refuge</c:v>
                        </c:pt>
                      </c15:dlblFieldTableCache>
                    </c15:dlblFTEntry>
                  </c15:dlblFieldTable>
                  <c15:showDataLabelsRange val="0"/>
                </c:ext>
              </c:extLst>
            </c:dLbl>
            <c:dLbl>
              <c:idx val="1"/>
              <c:layout>
                <c:manualLayout>
                  <c:x val="-1.0789269926634664E-2"/>
                  <c:y val="0"/>
                </c:manualLayout>
              </c:layout>
              <c:tx>
                <c:strRef>
                  <c:f>'PGA correlation'!$B$5</c:f>
                  <c:strCache>
                    <c:ptCount val="1"/>
                    <c:pt idx="0">
                      <c:v>Billings</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{F602A11F-01EF-4CE8-AB0E-03B2AFACD40C}</c15:txfldGUID>
                      <c15:f>'PGA correlation'!$B$5</c15:f>
                      <c15:dlblFieldTableCache>
                        <c:ptCount val="1"/>
                        <c:pt idx="0">
                          <c:v>Billings</c:v>
                        </c:pt>
                      </c15:dlblFieldTableCache>
                    </c15:dlblFTEntry>
                  </c15:dlblFieldTable>
                  <c15:showDataLabelsRange val="0"/>
                </c:ext>
              </c:extLst>
            </c:dLbl>
            <c:dLbl>
              <c:idx val="2"/>
              <c:tx>
                <c:strRef>
                  <c:f>'PGA correlation'!$B$6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{C4BED4A1-6D7B-4884-8CFE-8F48FC8D2B6E}</c15:txfldGUID>
                      <c15:f>'PGA correlation'!$B$6</c15:f>
                      <c15:dlblFieldTableCache>
                        <c:ptCount val="1"/>
                      </c15:dlblFieldTableCache>
                    </c15:dlblFTEntry>
                  </c15:dlblFieldTable>
                  <c15:showDataLabelsRange val="0"/>
                </c:ext>
              </c:extLst>
            </c:dLbl>
            <c:dLbl>
              <c:idx val="3"/>
              <c:tx>
                <c:strRef>
                  <c:f>'PGA correlation'!$B$7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{3ADF89C9-8703-426A-95EB-565E7B00DF8D}</c15:txfldGUID>
                      <c15:f>'PGA correlation'!$B$7</c15:f>
                      <c15:dlblFieldTableCache>
                        <c:ptCount val="1"/>
                      </c15:dlblFieldTableCache>
                    </c15:dlblFTEntry>
                  </c15:dlblFieldTable>
                  <c15:showDataLabelsRange val="0"/>
                </c:ext>
              </c:extLst>
            </c:dLbl>
            <c:dLbl>
              <c:idx val="4"/>
              <c:tx>
                <c:strRef>
                  <c:f>'PGA correlation'!$B$8</c:f>
                  <c:strCache>
                    <c:ptCount val="1"/>
                    <c:pt idx="0">
                      <c:v>Burley</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{C9E5298B-738E-436F-AA43-366ED6404FDF}</c15:txfldGUID>
                      <c15:f>'PGA correlation'!$B$8</c15:f>
                      <c15:dlblFieldTableCache>
                        <c:ptCount val="1"/>
                        <c:pt idx="0">
                          <c:v>Burley</c:v>
                        </c:pt>
                      </c15:dlblFieldTableCache>
                    </c15:dlblFTEntry>
                  </c15:dlblFieldTable>
                  <c15:showDataLabelsRange val="0"/>
                </c:ext>
              </c:extLst>
            </c:dLbl>
            <c:dLbl>
              <c:idx val="5"/>
              <c:tx>
                <c:strRef>
                  <c:f>'PGA correlation'!$B$9</c:f>
                  <c:strCache>
                    <c:ptCount val="1"/>
                    <c:pt idx="0">
                      <c:v>Hartford</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{7D429FDB-53D5-4259-995B-1EF09DE54EA2}</c15:txfldGUID>
                      <c15:f>'PGA correlation'!$B$9</c15:f>
                      <c15:dlblFieldTableCache>
                        <c:ptCount val="1"/>
                        <c:pt idx="0">
                          <c:v>Hartford</c:v>
                        </c:pt>
                      </c15:dlblFieldTableCache>
                    </c15:dlblFTEntry>
                  </c15:dlblFieldTable>
                  <c15:showDataLabelsRange val="0"/>
                </c:ext>
              </c:extLst>
            </c:dLbl>
            <c:dLbl>
              <c:idx val="6"/>
              <c:tx>
                <c:strRef>
                  <c:f>'PGA correlation'!$B$10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{5F914AD7-F0E4-46BD-A3A3-225775A592CC}</c15:txfldGUID>
                      <c15:f>'PGA correlation'!$B$10</c15:f>
                      <c15:dlblFieldTableCache>
                        <c:ptCount val="1"/>
                      </c15:dlblFieldTableCache>
                    </c15:dlblFTEntry>
                  </c15:dlblFieldTable>
                  <c15:showDataLabelsRange val="0"/>
                </c:ext>
              </c:extLst>
            </c:dLbl>
            <c:dLbl>
              <c:idx val="7"/>
              <c:tx>
                <c:strRef>
                  <c:f>'PGA correlation'!$B$11</c:f>
                  <c:strCache>
                    <c:ptCount val="1"/>
                    <c:pt idx="0">
                      <c:v>Bridgeport</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{D205F65A-DFE3-4A49-8005-B204115DBDB6}</c15:txfldGUID>
                      <c15:f>'PGA correlation'!$B$11</c15:f>
                      <c15:dlblFieldTableCache>
                        <c:ptCount val="1"/>
                        <c:pt idx="0">
                          <c:v>Bridgeport</c:v>
                        </c:pt>
                      </c15:dlblFieldTableCache>
                    </c15:dlblFTEntry>
                  </c15:dlblFieldTable>
                  <c15:showDataLabelsRange val="0"/>
                </c:ext>
              </c:extLst>
            </c:dLbl>
            <c:dLbl>
              <c:idx val="8"/>
              <c:tx>
                <c:strRef>
                  <c:f>'PGA correlation'!$B$12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{D81AEF5F-A0DC-4EB0-96EB-E3B39C86C522}</c15:txfldGUID>
                      <c15:f>'PGA correlation'!$B$12</c15:f>
                      <c15:dlblFieldTableCache>
                        <c:ptCount val="1"/>
                      </c15:dlblFieldTableCache>
                    </c15:dlblFTEntry>
                  </c15:dlblFieldTable>
                  <c15:showDataLabelsRange val="0"/>
                </c:ext>
              </c:extLst>
            </c:dLbl>
            <c:dLbl>
              <c:idx val="9"/>
              <c:tx>
                <c:strRef>
                  <c:f>'PGA correlation'!$B$13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{4852E228-9705-436C-B128-D3E031391189}</c15:txfldGUID>
                      <c15:f>'PGA correlation'!$B$13</c15:f>
                      <c15:dlblFieldTableCache>
                        <c:ptCount val="1"/>
                      </c15:dlblFieldTableCache>
                    </c15:dlblFTEntry>
                  </c15:dlblFieldTable>
                  <c15:showDataLabelsRange val="0"/>
                </c:ext>
              </c:extLst>
            </c:dLbl>
            <c:dLbl>
              <c:idx val="10"/>
              <c:layout>
                <c:manualLayout>
                  <c:x val="-6.473561955980838E-3"/>
                  <c:y val="0"/>
                </c:manualLayout>
              </c:layout>
              <c:tx>
                <c:strRef>
                  <c:f>'PGA correlation'!$B$14</c:f>
                  <c:strCache>
                    <c:ptCount val="1"/>
                    <c:pt idx="0">
                      <c:v>Boise</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{DBF9C6DA-7ADC-4499-B9E5-7D84D2B3A7DE}</c15:txfldGUID>
                      <c15:f>'PGA correlation'!$B$14</c15:f>
                      <c15:dlblFieldTableCache>
                        <c:ptCount val="1"/>
                        <c:pt idx="0">
                          <c:v>Boise</c:v>
                        </c:pt>
                      </c15:dlblFieldTableCache>
                    </c15:dlblFTEntry>
                  </c15:dlblFieldTable>
                  <c15:showDataLabelsRange val="0"/>
                </c:ext>
              </c:extLst>
            </c:dLbl>
            <c:dLbl>
              <c:idx val="11"/>
              <c:tx>
                <c:strRef>
                  <c:f>'PGA correlation'!$B$15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{92C5EF5B-EC47-4275-9A56-FAA4A043C190}</c15:txfldGUID>
                      <c15:f>'PGA correlation'!$B$15</c15:f>
                      <c15:dlblFieldTableCache>
                        <c:ptCount val="1"/>
                      </c15:dlblFieldTableCache>
                    </c15:dlblFTEntry>
                  </c15:dlblFieldTable>
                  <c15:showDataLabelsRange val="0"/>
                </c:ext>
              </c:extLst>
            </c:dLbl>
            <c:dLbl>
              <c:idx val="12"/>
              <c:tx>
                <c:strRef>
                  <c:f>'PGA correlation'!$B$16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{5FD58F7D-7074-4E7D-85A9-B89720ED5D32}</c15:txfldGUID>
                      <c15:f>'PGA correlation'!$B$16</c15:f>
                      <c15:dlblFieldTableCache>
                        <c:ptCount val="1"/>
                      </c15:dlblFieldTableCache>
                    </c15:dlblFTEntry>
                  </c15:dlblFieldTable>
                  <c15:showDataLabelsRange val="0"/>
                </c:ext>
              </c:extLst>
            </c:dLbl>
            <c:dLbl>
              <c:idx val="13"/>
              <c:tx>
                <c:strRef>
                  <c:f>'PGA correlation'!$B$17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{3073DEE8-4352-4223-B73A-856932FD4185}</c15:txfldGUID>
                      <c15:f>'PGA correlation'!$B$17</c15:f>
                      <c15:dlblFieldTableCache>
                        <c:ptCount val="1"/>
                      </c15:dlblFieldTableCache>
                    </c15:dlblFTEntry>
                  </c15:dlblFieldTable>
                  <c15:showDataLabelsRange val="0"/>
                </c:ext>
              </c:extLst>
            </c:dLbl>
            <c:dLbl>
              <c:idx val="14"/>
              <c:layout>
                <c:manualLayout>
                  <c:x val="-8.6314159413077313E-3"/>
                  <c:y val="0"/>
                </c:manualLayout>
              </c:layout>
              <c:tx>
                <c:strRef>
                  <c:f>'PGA correlation'!$B$18</c:f>
                  <c:strCache>
                    <c:ptCount val="1"/>
                    <c:pt idx="0">
                      <c:v>Moscow</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{11B1E3BC-BF88-4B17-AD5D-79FDFF910224}</c15:txfldGUID>
                      <c15:f>'PGA correlation'!$B$18</c15:f>
                      <c15:dlblFieldTableCache>
                        <c:ptCount val="1"/>
                        <c:pt idx="0">
                          <c:v>Moscow</c:v>
                        </c:pt>
                      </c15:dlblFieldTableCache>
                    </c15:dlblFTEntry>
                  </c15:dlblFieldTable>
                  <c15:showDataLabelsRange val="0"/>
                </c:ext>
              </c:extLst>
            </c:dLbl>
            <c:dLbl>
              <c:idx val="15"/>
              <c:tx>
                <c:strRef>
                  <c:f>'PGA correlation'!$B$19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{2A59B84F-F653-4F34-A5BB-60492A8BD24F}</c15:txfldGUID>
                      <c15:f>'PGA correlation'!$B$19</c15:f>
                      <c15:dlblFieldTableCache>
                        <c:ptCount val="1"/>
                      </c15:dlblFieldTableCache>
                    </c15:dlblFTEntry>
                  </c15:dlblFieldTable>
                  <c15:showDataLabelsRange val="0"/>
                </c:ext>
              </c:extLst>
            </c:dLbl>
            <c:dLbl>
              <c:idx val="16"/>
              <c:tx>
                <c:strRef>
                  <c:f>'PGA correlation'!$B$20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{17A4F0CE-F0DE-4CEB-852A-0050A9941664}</c15:txfldGUID>
                      <c15:f>'PGA correlation'!$B$20</c15:f>
                      <c15:dlblFieldTableCache>
                        <c:ptCount val="1"/>
                      </c15:dlblFieldTableCache>
                    </c15:dlblFTEntry>
                  </c15:dlblFieldTable>
                  <c15:showDataLabelsRange val="0"/>
                </c:ext>
              </c:extLst>
            </c:dLbl>
            <c:dLbl>
              <c:idx val="17"/>
              <c:tx>
                <c:strRef>
                  <c:f>'PGA correlation'!$B$21</c:f>
                  <c:strCache>
                    <c:ptCount val="1"/>
                    <c:pt idx="0">
                      <c:v>Clemson</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{E19C47D9-1FFC-4BCE-9E3A-DA1F122C59DD}</c15:txfldGUID>
                      <c15:f>'PGA correlation'!$B$21</c15:f>
                      <c15:dlblFieldTableCache>
                        <c:ptCount val="1"/>
                        <c:pt idx="0">
                          <c:v>Clemson</c:v>
                        </c:pt>
                      </c15:dlblFieldTableCache>
                    </c15:dlblFTEntry>
                  </c15:dlblFieldTable>
                  <c15:showDataLabelsRange val="0"/>
                </c:ext>
              </c:extLst>
            </c:dLbl>
            <c:dLbl>
              <c:idx val="18"/>
              <c:tx>
                <c:strRef>
                  <c:f>'PGA correlation'!$B$22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{6260DED0-45DA-4158-99FA-D7F354B0B2DF}</c15:txfldGUID>
                      <c15:f>'PGA correlation'!$B$22</c15:f>
                      <c15:dlblFieldTableCache>
                        <c:ptCount val="1"/>
                      </c15:dlblFieldTableCache>
                    </c15:dlblFTEntry>
                  </c15:dlblFieldTable>
                  <c15:showDataLabelsRange val="0"/>
                </c:ext>
              </c:extLst>
            </c:dLbl>
            <c:dLbl>
              <c:idx val="19"/>
              <c:tx>
                <c:strRef>
                  <c:f>'PGA correlation'!$B$23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{8263E465-834B-4C7D-8EDB-3F1FB7B66824}</c15:txfldGUID>
                      <c15:f>'PGA correlation'!$B$23</c15:f>
                      <c15:dlblFieldTableCache>
                        <c:ptCount val="1"/>
                      </c15:dlblFieldTableCache>
                    </c15:dlblFTEntry>
                  </c15:dlblFieldTable>
                  <c15:showDataLabelsRange val="0"/>
                </c:ext>
              </c:extLst>
            </c:dLbl>
            <c:dLbl>
              <c:idx val="20"/>
              <c:tx>
                <c:strRef>
                  <c:f>'PGA correlation'!$B$24</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{9A47EAC4-A3E6-4557-B219-83791AF47F57}</c15:txfldGUID>
                      <c15:f>'PGA correlation'!$B$24</c15:f>
                      <c15:dlblFieldTableCache>
                        <c:ptCount val="1"/>
                      </c15:dlblFieldTableCache>
                    </c15:dlblFTEntry>
                  </c15:dlblFieldTable>
                  <c15:showDataLabelsRange val="0"/>
                </c:ext>
              </c:extLst>
            </c:dLbl>
            <c:dLbl>
              <c:idx val="21"/>
              <c:tx>
                <c:strRef>
                  <c:f>'PGA correlation'!$B$25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{7A70AAF4-C1D6-441C-B244-261444976569}</c15:txfldGUID>
                      <c15:f>'PGA correlation'!$B$25</c15:f>
                      <c15:dlblFieldTableCache>
                        <c:ptCount val="1"/>
                      </c15:dlblFieldTableCache>
                    </c15:dlblFTEntry>
                  </c15:dlblFieldTable>
                  <c15:showDataLabelsRange val="0"/>
                </c:ext>
              </c:extLst>
            </c:dLbl>
            <c:dLbl>
              <c:idx val="22"/>
              <c:tx>
                <c:strRef>
                  <c:f>'PGA correlation'!$B$26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{D54BB975-6591-4318-8816-0EEC9E1ACF17}</c15:txfldGUID>
                      <c15:f>'PGA correlation'!$B$26</c15:f>
                      <c15:dlblFieldTableCache>
                        <c:ptCount val="1"/>
                      </c15:dlblFieldTableCache>
                    </c15:dlblFTEntry>
                  </c15:dlblFieldTable>
                  <c15:showDataLabelsRange val="0"/>
                </c:ext>
              </c:extLst>
            </c:dLbl>
            <c:dLbl>
              <c:idx val="23"/>
              <c:tx>
                <c:strRef>
                  <c:f>'PGA correlation'!$B$27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{0E794227-CFF1-42C6-933D-E313B28C0CE3}</c15:txfldGUID>
                      <c15:f>'PGA correlation'!$B$27</c15:f>
                      <c15:dlblFieldTableCache>
                        <c:ptCount val="1"/>
                      </c15:dlblFieldTableCache>
                    </c15:dlblFTEntry>
                  </c15:dlblFieldTable>
                  <c15:showDataLabelsRange val="0"/>
                </c:ext>
              </c:extLst>
            </c:dLbl>
            <c:dLbl>
              <c:idx val="24"/>
              <c:tx>
                <c:strRef>
                  <c:f>'PGA correlation'!$B$28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{E074420B-8E38-4F62-BA88-D04D9D92CDB5}</c15:txfldGUID>
                      <c15:f>'PGA correlation'!$B$28</c15:f>
                      <c15:dlblFieldTableCache>
                        <c:ptCount val="1"/>
                      </c15:dlblFieldTableCache>
                    </c15:dlblFTEntry>
                  </c15:dlblFieldTable>
                  <c15:showDataLabelsRange val="0"/>
                </c:ext>
              </c:extLst>
            </c:dLbl>
            <c:dLbl>
              <c:idx val="25"/>
              <c:tx>
                <c:strRef>
                  <c:f>'PGA correlation'!$B$29</c:f>
                  <c:strCache>
                    <c:ptCount val="1"/>
                    <c:pt idx="0">
                      <c:v>Stamford</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{50A52575-029F-4B1A-9E9F-9C34A45F7DDB}</c15:txfldGUID>
                      <c15:f>'PGA correlation'!$B$29</c15:f>
                      <c15:dlblFieldTableCache>
                        <c:ptCount val="1"/>
                        <c:pt idx="0">
                          <c:v>Stamford</c:v>
                        </c:pt>
                      </c15:dlblFieldTableCache>
                    </c15:dlblFTEntry>
                  </c15:dlblFieldTable>
                  <c15:showDataLabelsRange val="0"/>
                </c:ext>
              </c:extLst>
            </c:dLbl>
            <c:dLbl>
              <c:idx val="26"/>
              <c:layout>
                <c:manualLayout>
                  <c:x val="-8.6314159413077313E-3"/>
                  <c:y val="5.3910209362632508E-3"/>
                </c:manualLayout>
              </c:layout>
              <c:tx>
                <c:strRef>
                  <c:f>'PGA correlation'!$B$30</c:f>
                  <c:strCache>
                    <c:ptCount val="1"/>
                    <c:pt idx="0">
                      <c:v>Butte</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{009CE2ED-66E5-4CC1-9AA2-2F2FA508D11A}</c15:txfldGUID>
                      <c15:f>'PGA correlation'!$B$30</c15:f>
                      <c15:dlblFieldTableCache>
                        <c:ptCount val="1"/>
                        <c:pt idx="0">
                          <c:v>Butte</c:v>
                        </c:pt>
                      </c15:dlblFieldTableCache>
                    </c15:dlblFTEntry>
                  </c15:dlblFieldTable>
                  <c15:showDataLabelsRange val="0"/>
                </c:ext>
              </c:extLst>
            </c:dLbl>
            <c:dLbl>
              <c:idx val="27"/>
              <c:tx>
                <c:strRef>
                  <c:f>'PGA correlation'!$B$31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{62E2900A-7778-4206-8CD6-E87CA747E796}</c15:txfldGUID>
                      <c15:f>'PGA correlation'!$B$31</c15:f>
                      <c15:dlblFieldTableCache>
                        <c:ptCount val="1"/>
                      </c15:dlblFieldTableCache>
                    </c15:dlblFTEntry>
                  </c15:dlblFieldTable>
                  <c15:showDataLabelsRange val="0"/>
                </c:ext>
              </c:extLst>
            </c:dLbl>
            <c:dLbl>
              <c:idx val="28"/>
              <c:tx>
                <c:strRef>
                  <c:f>'PGA correlation'!$B$32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{C7962235-982A-4D1E-A105-5D8B7E2FA8BD}</c15:txfldGUID>
                      <c15:f>'PGA correlation'!$B$32</c15:f>
                      <c15:dlblFieldTableCache>
                        <c:ptCount val="1"/>
                      </c15:dlblFieldTableCache>
                    </c15:dlblFTEntry>
                  </c15:dlblFieldTable>
                  <c15:showDataLabelsRange val="0"/>
                </c:ext>
              </c:extLst>
            </c:dLbl>
            <c:dLbl>
              <c:idx val="29"/>
              <c:tx>
                <c:strRef>
                  <c:f>'PGA correlation'!$B$33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{E9B7C7DD-0004-4AEB-A705-EBD49E31B384}</c15:txfldGUID>
                      <c15:f>'PGA correlation'!$B$33</c15:f>
                      <c15:dlblFieldTableCache>
                        <c:ptCount val="1"/>
                      </c15:dlblFieldTableCache>
                    </c15:dlblFTEntry>
                  </c15:dlblFieldTable>
                  <c15:showDataLabelsRange val="0"/>
                </c:ext>
              </c:extLst>
            </c:dLbl>
            <c:dLbl>
              <c:idx val="30"/>
              <c:tx>
                <c:strRef>
                  <c:f>'PGA correlation'!$B$34</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{A7DDD96A-7A5E-4F10-8AF4-AE64F7477ED8}</c15:txfldGUID>
                      <c15:f>'PGA correlation'!$B$34</c15:f>
                      <c15:dlblFieldTableCache>
                        <c:ptCount val="1"/>
                      </c15:dlblFieldTableCache>
                    </c15:dlblFTEntry>
                  </c15:dlblFieldTable>
                  <c15:showDataLabelsRange val="0"/>
                </c:ext>
              </c:extLst>
            </c:dLbl>
            <c:dLbl>
              <c:idx val="31"/>
              <c:tx>
                <c:strRef>
                  <c:f>'PGA correlation'!$B$35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{6CC22100-9209-4195-B7CE-32C05E799A14}</c15:txfldGUID>
                      <c15:f>'PGA correlation'!$B$35</c15:f>
                      <c15:dlblFieldTableCache>
                        <c:ptCount val="1"/>
                      </c15:dlblFieldTableCache>
                    </c15:dlblFTEntry>
                  </c15:dlblFieldTable>
                  <c15:showDataLabelsRange val="0"/>
                </c:ext>
              </c:extLst>
            </c:dLbl>
            <c:dLbl>
              <c:idx val="32"/>
              <c:tx>
                <c:strRef>
                  <c:f>'PGA correlation'!$B$36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{28933AD8-449D-48FD-A030-2DFB7B3F41E4}</c15:txfldGUID>
                      <c15:f>'PGA correlation'!$B$36</c15:f>
                      <c15:dlblFieldTableCache>
                        <c:ptCount val="1"/>
                      </c15:dlblFieldTableCache>
                    </c15:dlblFTEntry>
                  </c15:dlblFieldTable>
                  <c15:showDataLabelsRange val="0"/>
                </c:ext>
              </c:extLst>
            </c:dLbl>
            <c:dLbl>
              <c:idx val="33"/>
              <c:tx>
                <c:strRef>
                  <c:f>'PGA correlation'!$B$37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{D4274B73-E699-42A0-8674-9DE9C6A6FEF8}</c15:txfldGUID>
                      <c15:f>'PGA correlation'!$B$37</c15:f>
                      <c15:dlblFieldTableCache>
                        <c:ptCount val="1"/>
                      </c15:dlblFieldTableCache>
                    </c15:dlblFTEntry>
                  </c15:dlblFieldTable>
                  <c15:showDataLabelsRange val="0"/>
                </c:ext>
              </c:extLst>
            </c:dLbl>
            <c:dLbl>
              <c:idx val="34"/>
              <c:layout/>
              <c:tx>
                <c:strRef>
                  <c:f>'PGA correlation'!$B$38</c:f>
                  <c:strCache>
                    <c:ptCount val="1"/>
                    <c:pt idx="0">
                      <c:v>Juneau</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{5808BF54-338A-40F2-8DC1-251D613C43C4}</c15:txfldGUID>
                      <c15:f>'PGA correlation'!$B$38</c15:f>
                      <c15:dlblFieldTableCache>
                        <c:ptCount val="1"/>
                        <c:pt idx="0">
                          <c:v>Juneau</c:v>
                        </c:pt>
                      </c15:dlblFieldTableCache>
                    </c15:dlblFTEntry>
                  </c15:dlblFieldTable>
                  <c15:showDataLabelsRange val="0"/>
                </c:ext>
              </c:extLst>
            </c:dLbl>
            <c:dLbl>
              <c:idx val="35"/>
              <c:tx>
                <c:strRef>
                  <c:f>'PGA correlation'!$B$39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{BA989706-C9B1-4BC8-8691-74A62DBB747C}</c15:txfldGUID>
                      <c15:f>'PGA correlation'!$B$39</c15:f>
                      <c15:dlblFieldTableCache>
                        <c:ptCount val="1"/>
                      </c15:dlblFieldTableCache>
                    </c15:dlblFTEntry>
                  </c15:dlblFieldTable>
                  <c15:showDataLabelsRange val="0"/>
                </c:ext>
              </c:extLst>
            </c:dLbl>
            <c:dLbl>
              <c:idx val="36"/>
              <c:tx>
                <c:strRef>
                  <c:f>'PGA correlation'!$B$40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{08D882BF-8F39-44D7-BA56-FDF1D623E8D8}</c15:txfldGUID>
                      <c15:f>'PGA correlation'!$B$40</c15:f>
                      <c15:dlblFieldTableCache>
                        <c:ptCount val="1"/>
                      </c15:dlblFieldTableCache>
                    </c15:dlblFTEntry>
                  </c15:dlblFieldTable>
                  <c15:showDataLabelsRange val="0"/>
                </c:ext>
              </c:extLst>
            </c:dLbl>
            <c:dLbl>
              <c:idx val="37"/>
              <c:tx>
                <c:strRef>
                  <c:f>'PGA correlation'!$B$41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{A1089A25-EF88-4092-B696-15334F1A5E9B}</c15:txfldGUID>
                      <c15:f>'PGA correlation'!$B$41</c15:f>
                      <c15:dlblFieldTableCache>
                        <c:ptCount val="1"/>
                      </c15:dlblFieldTableCache>
                    </c15:dlblFTEntry>
                  </c15:dlblFieldTable>
                  <c15:showDataLabelsRange val="0"/>
                </c:ext>
              </c:extLst>
            </c:dLbl>
            <c:dLbl>
              <c:idx val="38"/>
              <c:layout>
                <c:manualLayout>
                  <c:x val="-6.473561955980838E-3"/>
                  <c:y val="0"/>
                </c:manualLayout>
              </c:layout>
              <c:tx>
                <c:strRef>
                  <c:f>'PGA correlation'!$B$42</c:f>
                  <c:strCache>
                    <c:ptCount val="1"/>
                    <c:pt idx="0">
                      <c:v>Beaver</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{BC63AE8F-71E2-41CF-83B9-3452C99C86DB}</c15:txfldGUID>
                      <c15:f>'PGA correlation'!$B$42</c15:f>
                      <c15:dlblFieldTableCache>
                        <c:ptCount val="1"/>
                        <c:pt idx="0">
                          <c:v>Beaver</c:v>
                        </c:pt>
                      </c15:dlblFieldTableCache>
                    </c15:dlblFTEntry>
                  </c15:dlblFieldTable>
                  <c15:showDataLabelsRange val="0"/>
                </c:ext>
              </c:extLst>
            </c:dLbl>
            <c:dLbl>
              <c:idx val="39"/>
              <c:tx>
                <c:strRef>
                  <c:f>'PGA correlation'!$B$43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{0BF3B131-13CA-46A9-B6ED-3CE019D57D9B}</c15:txfldGUID>
                      <c15:f>'PGA correlation'!$B$43</c15:f>
                      <c15:dlblFieldTableCache>
                        <c:ptCount val="1"/>
                      </c15:dlblFieldTableCache>
                    </c15:dlblFTEntry>
                  </c15:dlblFieldTable>
                  <c15:showDataLabelsRange val="0"/>
                </c:ext>
              </c:extLst>
            </c:dLbl>
            <c:dLbl>
              <c:idx val="40"/>
              <c:tx>
                <c:strRef>
                  <c:f>'PGA correlation'!$B$44</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{0B5AE67D-E10E-4C3E-ABC7-567DBA9C88FC}</c15:txfldGUID>
                      <c15:f>'PGA correlation'!$B$44</c15:f>
                      <c15:dlblFieldTableCache>
                        <c:ptCount val="1"/>
                      </c15:dlblFieldTableCache>
                    </c15:dlblFTEntry>
                  </c15:dlblFieldTable>
                  <c15:showDataLabelsRange val="0"/>
                </c:ext>
              </c:extLst>
            </c:dLbl>
            <c:dLbl>
              <c:idx val="41"/>
              <c:tx>
                <c:strRef>
                  <c:f>'PGA correlation'!$B$45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{9B414CC6-A8F3-4183-8B10-681688A47663}</c15:txfldGUID>
                      <c15:f>'PGA correlation'!$B$45</c15:f>
                      <c15:dlblFieldTableCache>
                        <c:ptCount val="1"/>
                      </c15:dlblFieldTableCache>
                    </c15:dlblFTEntry>
                  </c15:dlblFieldTable>
                  <c15:showDataLabelsRange val="0"/>
                </c:ext>
              </c:extLst>
            </c:dLbl>
            <c:dLbl>
              <c:idx val="42"/>
              <c:tx>
                <c:strRef>
                  <c:f>'PGA correlation'!$B$46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{0EAC51BD-235B-4EB8-812F-5878077D8EEF}</c15:txfldGUID>
                      <c15:f>'PGA correlation'!$B$46</c15:f>
                      <c15:dlblFieldTableCache>
                        <c:ptCount val="1"/>
                      </c15:dlblFieldTableCache>
                    </c15:dlblFTEntry>
                  </c15:dlblFieldTable>
                  <c15:showDataLabelsRange val="0"/>
                </c:ext>
              </c:extLst>
            </c:dLbl>
            <c:dLbl>
              <c:idx val="43"/>
              <c:layout>
                <c:manualLayout>
                  <c:x val="-4.3157079706538657E-3"/>
                  <c:y val="0"/>
                </c:manualLayout>
              </c:layout>
              <c:tx>
                <c:strRef>
                  <c:f>'PGA correlation'!$B$47</c:f>
                  <c:strCache>
                    <c:ptCount val="1"/>
                    <c:pt idx="0">
                      <c:v>Skagway</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{BADEE409-D221-4762-BBDD-5E5AE8CA18CE}</c15:txfldGUID>
                      <c15:f>'PGA correlation'!$B$47</c15:f>
                      <c15:dlblFieldTableCache>
                        <c:ptCount val="1"/>
                        <c:pt idx="0">
                          <c:v>Skagway</c:v>
                        </c:pt>
                      </c15:dlblFieldTableCache>
                    </c15:dlblFTEntry>
                  </c15:dlblFieldTable>
                  <c15:showDataLabelsRange val="0"/>
                </c:ext>
              </c:extLst>
            </c:dLbl>
            <c:dLbl>
              <c:idx val="44"/>
              <c:tx>
                <c:strRef>
                  <c:f>'PGA correlation'!$B$48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{2315CD92-0A46-4047-9558-C1E0285CEC6D}</c15:txfldGUID>
                      <c15:f>'PGA correlation'!$B$48</c15:f>
                      <c15:dlblFieldTableCache>
                        <c:ptCount val="1"/>
                      </c15:dlblFieldTableCache>
                    </c15:dlblFTEntry>
                  </c15:dlblFieldTable>
                  <c15:showDataLabelsRange val="0"/>
                </c:ext>
              </c:extLst>
            </c:dLbl>
            <c:dLbl>
              <c:idx val="45"/>
              <c:tx>
                <c:strRef>
                  <c:f>'PGA correlation'!$B$49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{07586964-964C-4EFD-A89A-2D8E167011F8}</c15:txfldGUID>
                      <c15:f>'PGA correlation'!$B$49</c15:f>
                      <c15:dlblFieldTableCache>
                        <c:ptCount val="1"/>
                      </c15:dlblFieldTableCache>
                    </c15:dlblFTEntry>
                  </c15:dlblFieldTable>
                  <c15:showDataLabelsRange val="0"/>
                </c:ext>
              </c:extLst>
            </c:dLbl>
            <c:dLbl>
              <c:idx val="46"/>
              <c:tx>
                <c:strRef>
                  <c:f>'PGA correlation'!$B$50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{7A4E2C9F-7668-4114-AC23-32A4819125FD}</c15:txfldGUID>
                      <c15:f>'PGA correlation'!$B$50</c15:f>
                      <c15:dlblFieldTableCache>
                        <c:ptCount val="1"/>
                      </c15:dlblFieldTableCache>
                    </c15:dlblFTEntry>
                  </c15:dlblFieldTable>
                  <c15:showDataLabelsRange val="0"/>
                </c:ext>
              </c:extLst>
            </c:dLbl>
            <c:dLbl>
              <c:idx val="47"/>
              <c:tx>
                <c:strRef>
                  <c:f>'PGA correlation'!$B$51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{87594B5F-957B-418E-BE68-BBDF76F0355E}</c15:txfldGUID>
                      <c15:f>'PGA correlation'!$B$51</c15:f>
                      <c15:dlblFieldTableCache>
                        <c:ptCount val="1"/>
                      </c15:dlblFieldTableCache>
                    </c15:dlblFTEntry>
                  </c15:dlblFieldTable>
                  <c15:showDataLabelsRange val="0"/>
                </c:ext>
              </c:extLst>
            </c:dLbl>
            <c:dLbl>
              <c:idx val="48"/>
              <c:layout>
                <c:manualLayout>
                  <c:x val="0"/>
                  <c:y val="7.355308911391115E-3"/>
                </c:manualLayout>
              </c:layout>
              <c:tx>
                <c:strRef>
                  <c:f>'PGA correlation'!$B$52</c:f>
                  <c:strCache>
                    <c:ptCount val="1"/>
                    <c:pt idx="0">
                      <c:v>West Yellowstone</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{A86FFFC0-2DAF-4145-A36C-52A8BAB7F33E}</c15:txfldGUID>
                      <c15:f>'PGA correlation'!$B$52</c15:f>
                      <c15:dlblFieldTableCache>
                        <c:ptCount val="1"/>
                        <c:pt idx="0">
                          <c:v>West Yellowstone</c:v>
                        </c:pt>
                      </c15:dlblFieldTableCache>
                    </c15:dlblFTEntry>
                  </c15:dlblFieldTable>
                  <c15:showDataLabelsRange val="0"/>
                </c:ext>
              </c:extLst>
            </c:dLbl>
            <c:dLbl>
              <c:idx val="49"/>
              <c:tx>
                <c:strRef>
                  <c:f>'PGA correlation'!$B$53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{41E29B1A-2EB8-4575-BA49-9CBB85DD2F35}</c15:txfldGUID>
                      <c15:f>'PGA correlation'!$B$53</c15:f>
                      <c15:dlblFieldTableCache>
                        <c:ptCount val="1"/>
                      </c15:dlblFieldTableCache>
                    </c15:dlblFTEntry>
                  </c15:dlblFieldTable>
                  <c15:showDataLabelsRange val="0"/>
                </c:ext>
              </c:extLst>
            </c:dLbl>
            <c:dLbl>
              <c:idx val="50"/>
              <c:tx>
                <c:strRef>
                  <c:f>'PGA correlation'!$B$54</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{C009C854-EB43-4EAB-B89A-6C3EF5C227A1}</c15:txfldGUID>
                      <c15:f>'PGA correlation'!$B$54</c15:f>
                      <c15:dlblFieldTableCache>
                        <c:ptCount val="1"/>
                      </c15:dlblFieldTableCache>
                    </c15:dlblFTEntry>
                  </c15:dlblFieldTable>
                  <c15:showDataLabelsRange val="0"/>
                </c:ext>
              </c:extLst>
            </c:dLbl>
            <c:dLbl>
              <c:idx val="51"/>
              <c:tx>
                <c:strRef>
                  <c:f>'PGA correlation'!$B$55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{E7C35574-97C6-432D-8371-778178F43463}</c15:txfldGUID>
                      <c15:f>'PGA correlation'!$B$55</c15:f>
                      <c15:dlblFieldTableCache>
                        <c:ptCount val="1"/>
                      </c15:dlblFieldTableCache>
                    </c15:dlblFTEntry>
                  </c15:dlblFieldTable>
                  <c15:showDataLabelsRange val="0"/>
                </c:ext>
              </c:extLst>
            </c:dLbl>
            <c:dLbl>
              <c:idx val="52"/>
              <c:tx>
                <c:strRef>
                  <c:f>'PGA correlation'!$B$56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{35B8F456-C0FC-45D4-8FF6-7EF01828BA2A}</c15:txfldGUID>
                      <c15:f>'PGA correlation'!$B$56</c15:f>
                      <c15:dlblFieldTableCache>
                        <c:ptCount val="1"/>
                      </c15:dlblFieldTableCache>
                    </c15:dlblFTEntry>
                  </c15:dlblFieldTable>
                  <c15:showDataLabelsRange val="0"/>
                </c:ext>
              </c:extLst>
            </c:dLbl>
            <c:dLbl>
              <c:idx val="53"/>
              <c:layout>
                <c:manualLayout>
                  <c:x val="0"/>
                  <c:y val="-1.5441879063694276E-2"/>
                </c:manualLayout>
              </c:layout>
              <c:tx>
                <c:strRef>
                  <c:f>'PGA correlation'!$B$57</c:f>
                  <c:strCache>
                    <c:ptCount val="1"/>
                    <c:pt idx="0">
                      <c:v>Portland (OR)</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{6D2D40B4-C0BB-4F7B-AD5B-012A5E123744}</c15:txfldGUID>
                      <c15:f>'PGA correlation'!$B$57</c15:f>
                      <c15:dlblFieldTableCache>
                        <c:ptCount val="1"/>
                        <c:pt idx="0">
                          <c:v>Portland (OR)</c:v>
                        </c:pt>
                      </c15:dlblFieldTableCache>
                    </c15:dlblFTEntry>
                  </c15:dlblFieldTable>
                  <c15:showDataLabelsRange val="0"/>
                </c:ext>
              </c:extLst>
            </c:dLbl>
            <c:dLbl>
              <c:idx val="54"/>
              <c:tx>
                <c:strRef>
                  <c:f>'PGA correlation'!$B$58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{A2C77892-AC82-4873-9E12-10A75425FBFD}</c15:txfldGUID>
                      <c15:f>'PGA correlation'!$B$58</c15:f>
                      <c15:dlblFieldTableCache>
                        <c:ptCount val="1"/>
                      </c15:dlblFieldTableCache>
                    </c15:dlblFTEntry>
                  </c15:dlblFieldTable>
                  <c15:showDataLabelsRange val="0"/>
                </c:ext>
              </c:extLst>
            </c:dLbl>
            <c:dLbl>
              <c:idx val="55"/>
              <c:tx>
                <c:strRef>
                  <c:f>'PGA correlation'!$B$59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{5B22A275-C4C2-45EA-9A20-A95F2CC99518}</c15:txfldGUID>
                      <c15:f>'PGA correlation'!$B$59</c15:f>
                      <c15:dlblFieldTableCache>
                        <c:ptCount val="1"/>
                      </c15:dlblFieldTableCache>
                    </c15:dlblFTEntry>
                  </c15:dlblFieldTable>
                  <c15:showDataLabelsRange val="0"/>
                </c:ext>
              </c:extLst>
            </c:dLbl>
            <c:dLbl>
              <c:idx val="56"/>
              <c:layout>
                <c:manualLayout>
                  <c:x val="-2.8052101809250166E-2"/>
                  <c:y val="1.2258848185651858E-2"/>
                </c:manualLayout>
              </c:layout>
              <c:tx>
                <c:strRef>
                  <c:f>'PGA correlation'!$B$60</c:f>
                  <c:strCache>
                    <c:ptCount val="1"/>
                    <c:pt idx="0">
                      <c:v>Montpelier</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{DB87713B-15DA-4302-B20B-9621658B97D2}</c15:txfldGUID>
                      <c15:f>'PGA correlation'!$B$60</c15:f>
                      <c15:dlblFieldTableCache>
                        <c:ptCount val="1"/>
                        <c:pt idx="0">
                          <c:v>Montpelier</c:v>
                        </c:pt>
                      </c15:dlblFieldTableCache>
                    </c15:dlblFTEntry>
                  </c15:dlblFieldTable>
                  <c15:showDataLabelsRange val="0"/>
                </c:ext>
              </c:extLst>
            </c:dLbl>
            <c:dLbl>
              <c:idx val="57"/>
              <c:tx>
                <c:strRef>
                  <c:f>'PGA correlation'!$B$61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{DE715593-0670-48BA-8D01-736C57C4F451}</c15:txfldGUID>
                      <c15:f>'PGA correlation'!$B$61</c15:f>
                      <c15:dlblFieldTableCache>
                        <c:ptCount val="1"/>
                      </c15:dlblFieldTableCache>
                    </c15:dlblFTEntry>
                  </c15:dlblFieldTable>
                  <c15:showDataLabelsRange val="0"/>
                </c:ext>
              </c:extLst>
            </c:dLbl>
            <c:dLbl>
              <c:idx val="58"/>
              <c:tx>
                <c:strRef>
                  <c:f>'PGA correlation'!$B$62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{C8737C68-49A5-4C40-A8B3-64E28FE22568}</c15:txfldGUID>
                      <c15:f>'PGA correlation'!$B$62</c15:f>
                      <c15:dlblFieldTableCache>
                        <c:ptCount val="1"/>
                      </c15:dlblFieldTableCache>
                    </c15:dlblFTEntry>
                  </c15:dlblFieldTable>
                  <c15:showDataLabelsRange val="0"/>
                </c:ext>
              </c:extLst>
            </c:dLbl>
            <c:dLbl>
              <c:idx val="59"/>
              <c:layout>
                <c:manualLayout>
                  <c:x val="-8.6314159413077712E-3"/>
                  <c:y val="0"/>
                </c:manualLayout>
              </c:layout>
              <c:tx>
                <c:strRef>
                  <c:f>'PGA correlation'!$B$63</c:f>
                  <c:strCache>
                    <c:ptCount val="1"/>
                    <c:pt idx="0">
                      <c:v>Memphis (TN)</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{C093D867-7A2B-49FE-A405-7B606C9EB737}</c15:txfldGUID>
                      <c15:f>'PGA correlation'!$B$63</c15:f>
                      <c15:dlblFieldTableCache>
                        <c:ptCount val="1"/>
                        <c:pt idx="0">
                          <c:v>Memphis (TN)</c:v>
                        </c:pt>
                      </c15:dlblFieldTableCache>
                    </c15:dlblFTEntry>
                  </c15:dlblFieldTable>
                  <c15:showDataLabelsRange val="0"/>
                </c:ext>
              </c:extLst>
            </c:dLbl>
            <c:dLbl>
              <c:idx val="60"/>
              <c:tx>
                <c:strRef>
                  <c:f>'PGA correlation'!$B$64</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{08054EFA-FFF2-4372-9176-730F5E0A90C2}</c15:txfldGUID>
                      <c15:f>'PGA correlation'!$B$64</c15:f>
                      <c15:dlblFieldTableCache>
                        <c:ptCount val="1"/>
                      </c15:dlblFieldTableCache>
                    </c15:dlblFTEntry>
                  </c15:dlblFieldTable>
                  <c15:showDataLabelsRange val="0"/>
                </c:ext>
              </c:extLst>
            </c:dLbl>
            <c:dLbl>
              <c:idx val="61"/>
              <c:tx>
                <c:strRef>
                  <c:f>'PGA correlation'!$B$65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{EC78E591-8944-44A4-901C-C80C2A3CA0CB}</c15:txfldGUID>
                      <c15:f>'PGA correlation'!$B$65</c15:f>
                      <c15:dlblFieldTableCache>
                        <c:ptCount val="1"/>
                      </c15:dlblFieldTableCache>
                    </c15:dlblFTEntry>
                  </c15:dlblFieldTable>
                  <c15:showDataLabelsRange val="0"/>
                </c:ext>
              </c:extLst>
            </c:dLbl>
            <c:dLbl>
              <c:idx val="62"/>
              <c:tx>
                <c:strRef>
                  <c:f>'PGA correlation'!$B$66</c:f>
                  <c:strCache>
                    <c:ptCount val="1"/>
                    <c:pt idx="0">
                      <c:v>Anchorage</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{EDA2B31D-00AF-4056-8284-E7FEDE1D1C09}</c15:txfldGUID>
                      <c15:f>'PGA correlation'!$B$66</c15:f>
                      <c15:dlblFieldTableCache>
                        <c:ptCount val="1"/>
                        <c:pt idx="0">
                          <c:v>Anchorage</c:v>
                        </c:pt>
                      </c15:dlblFieldTableCache>
                    </c15:dlblFTEntry>
                  </c15:dlblFieldTable>
                  <c15:showDataLabelsRange val="0"/>
                </c:ext>
              </c:extLst>
            </c:dLbl>
            <c:dLbl>
              <c:idx val="63"/>
              <c:tx>
                <c:strRef>
                  <c:f>'PGA correlation'!$B$67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{871048AE-35E4-4432-9FA4-B4E2CAAEC63E}</c15:txfldGUID>
                      <c15:f>'PGA correlation'!$B$67</c15:f>
                      <c15:dlblFieldTableCache>
                        <c:ptCount val="1"/>
                      </c15:dlblFieldTableCache>
                    </c15:dlblFTEntry>
                  </c15:dlblFieldTable>
                  <c15:showDataLabelsRange val="0"/>
                </c:ext>
              </c:extLst>
            </c:dLbl>
            <c:dLbl>
              <c:idx val="64"/>
              <c:tx>
                <c:strRef>
                  <c:f>'PGA correlation'!$B$68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{334203D1-BDB6-4C53-AB40-A5FB6661944B}</c15:txfldGUID>
                      <c15:f>'PGA correlation'!$B$68</c15:f>
                      <c15:dlblFieldTableCache>
                        <c:ptCount val="1"/>
                      </c15:dlblFieldTableCache>
                    </c15:dlblFTEntry>
                  </c15:dlblFieldTable>
                  <c15:showDataLabelsRange val="0"/>
                </c:ext>
              </c:extLst>
            </c:dLbl>
            <c:dLbl>
              <c:idx val="65"/>
              <c:tx>
                <c:strRef>
                  <c:f>'PGA correlation'!$B$69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{34DB5895-5836-480E-9F8D-4EA2FC029FAA}</c15:txfldGUID>
                      <c15:f>'PGA correlation'!$B$69</c15:f>
                      <c15:dlblFieldTableCache>
                        <c:ptCount val="1"/>
                      </c15:dlblFieldTableCache>
                    </c15:dlblFTEntry>
                  </c15:dlblFieldTable>
                  <c15:showDataLabelsRange val="0"/>
                </c:ext>
              </c:extLst>
            </c:dLbl>
            <c:dLbl>
              <c:idx val="66"/>
              <c:tx>
                <c:strRef>
                  <c:f>'PGA correlation'!$B$70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{F895A73B-F323-4F80-9CC5-D4BFE4A15013}</c15:txfldGUID>
                      <c15:f>'PGA correlation'!$B$70</c15:f>
                      <c15:dlblFieldTableCache>
                        <c:ptCount val="1"/>
                      </c15:dlblFieldTableCache>
                    </c15:dlblFTEntry>
                  </c15:dlblFieldTable>
                  <c15:showDataLabelsRange val="0"/>
                </c:ext>
              </c:extLst>
            </c:dLbl>
            <c:dLbl>
              <c:idx val="67"/>
              <c:tx>
                <c:strRef>
                  <c:f>'PGA correlation'!$B$71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{E4975BDF-42D7-48ED-B558-ECEF801E5388}</c15:txfldGUID>
                      <c15:f>'PGA correlation'!$B$71</c15:f>
                      <c15:dlblFieldTableCache>
                        <c:ptCount val="1"/>
                      </c15:dlblFieldTableCache>
                    </c15:dlblFTEntry>
                  </c15:dlblFieldTable>
                  <c15:showDataLabelsRange val="0"/>
                </c:ext>
              </c:extLst>
            </c:dLbl>
            <c:dLbl>
              <c:idx val="68"/>
              <c:tx>
                <c:strRef>
                  <c:f>'PGA correlation'!$B$72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{2483C398-DE3B-46B6-A3AB-A7011125B828}</c15:txfldGUID>
                      <c15:f>'PGA correlation'!$B$72</c15:f>
                      <c15:dlblFieldTableCache>
                        <c:ptCount val="1"/>
                      </c15:dlblFieldTableCache>
                    </c15:dlblFTEntry>
                  </c15:dlblFieldTable>
                  <c15:showDataLabelsRange val="0"/>
                </c:ext>
              </c:extLst>
            </c:dLbl>
            <c:dLbl>
              <c:idx val="69"/>
              <c:tx>
                <c:strRef>
                  <c:f>'PGA correlation'!$B$73</c:f>
                  <c:strCache>
                    <c:ptCount val="1"/>
                    <c:pt idx="0">
                      <c:v>Seattle (WA)</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{3CAD7DAF-1596-4193-A047-406CA9B74AD5}</c15:txfldGUID>
                      <c15:f>'PGA correlation'!$B$73</c15:f>
                      <c15:dlblFieldTableCache>
                        <c:ptCount val="1"/>
                        <c:pt idx="0">
                          <c:v>Seattle (WA)</c:v>
                        </c:pt>
                      </c15:dlblFieldTableCache>
                    </c15:dlblFTEntry>
                  </c15:dlblFieldTable>
                  <c15:showDataLabelsRange val="0"/>
                </c:ext>
              </c:extLst>
            </c:dLbl>
            <c:dLbl>
              <c:idx val="70"/>
              <c:layout>
                <c:manualLayout>
                  <c:x val="-4.3157079706538657E-3"/>
                  <c:y val="-7.3553089113911601E-3"/>
                </c:manualLayout>
              </c:layout>
              <c:tx>
                <c:strRef>
                  <c:f>'PGA correlation'!$B$74</c:f>
                  <c:strCache>
                    <c:ptCount val="1"/>
                    <c:pt idx="0">
                      <c:v>Salt Lake City</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{6E772478-6314-4E3E-B795-18F1C0018302}</c15:txfldGUID>
                      <c15:f>'PGA correlation'!$B$74</c15:f>
                      <c15:dlblFieldTableCache>
                        <c:ptCount val="1"/>
                        <c:pt idx="0">
                          <c:v>Salt Lake City</c:v>
                        </c:pt>
                      </c15:dlblFieldTableCache>
                    </c15:dlblFTEntry>
                  </c15:dlblFieldTable>
                  <c15:showDataLabelsRange val="0"/>
                </c:ext>
              </c:extLst>
            </c:dLbl>
            <c:dLbl>
              <c:idx val="71"/>
              <c:tx>
                <c:strRef>
                  <c:f>'PGA correlation'!$B$75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{46CFE6D5-1C69-4652-AF21-1E898D2243B8}</c15:txfldGUID>
                      <c15:f>'PGA correlation'!$B$75</c15:f>
                      <c15:dlblFieldTableCache>
                        <c:ptCount val="1"/>
                      </c15:dlblFieldTableCache>
                    </c15:dlblFTEntry>
                  </c15:dlblFieldTable>
                  <c15:showDataLabelsRange val="0"/>
                </c:ext>
              </c:extLst>
            </c:dLbl>
            <c:dLbl>
              <c:idx val="72"/>
              <c:tx>
                <c:strRef>
                  <c:f>'PGA correlation'!$B$76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{AC050BF3-F061-4CBE-8925-BEC73278EE1B}</c15:txfldGUID>
                      <c15:f>'PGA correlation'!$B$76</c15:f>
                      <c15:dlblFieldTableCache>
                        <c:ptCount val="1"/>
                      </c15:dlblFieldTableCache>
                    </c15:dlblFTEntry>
                  </c15:dlblFieldTable>
                  <c15:showDataLabelsRange val="0"/>
                </c:ext>
              </c:extLst>
            </c:dLbl>
            <c:dLbl>
              <c:idx val="73"/>
              <c:tx>
                <c:strRef>
                  <c:f>'PGA correlation'!$B$77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{144B3D9B-39E2-46FC-B271-27B155DB5002}</c15:txfldGUID>
                      <c15:f>'PGA correlation'!$B$77</c15:f>
                      <c15:dlblFieldTableCache>
                        <c:ptCount val="1"/>
                      </c15:dlblFieldTableCache>
                    </c15:dlblFTEntry>
                  </c15:dlblFieldTable>
                  <c15:showDataLabelsRange val="0"/>
                </c:ext>
              </c:extLst>
            </c:dLbl>
            <c:dLbl>
              <c:idx val="74"/>
              <c:tx>
                <c:strRef>
                  <c:f>'PGA correlation'!$B$78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{DA6CC777-98B9-4718-B0AB-8A38F35ACB02}</c15:txfldGUID>
                      <c15:f>'PGA correlation'!$B$78</c15:f>
                      <c15:dlblFieldTableCache>
                        <c:ptCount val="1"/>
                      </c15:dlblFieldTableCache>
                    </c15:dlblFTEntry>
                  </c15:dlblFieldTable>
                  <c15:showDataLabelsRange val="0"/>
                </c:ext>
              </c:extLst>
            </c:dLbl>
            <c:dLbl>
              <c:idx val="75"/>
              <c:tx>
                <c:strRef>
                  <c:f>'PGA correlation'!$B$79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{89EC5154-AF8F-4BB5-ABE2-7F63C7F0C65D}</c15:txfldGUID>
                      <c15:f>'PGA correlation'!$B$79</c15:f>
                      <c15:dlblFieldTableCache>
                        <c:ptCount val="1"/>
                      </c15:dlblFieldTableCache>
                    </c15:dlblFTEntry>
                  </c15:dlblFieldTable>
                  <c15:showDataLabelsRange val="0"/>
                </c:ext>
              </c:extLst>
            </c:dLbl>
            <c:dLbl>
              <c:idx val="76"/>
              <c:tx>
                <c:strRef>
                  <c:f>'PGA correlation'!$B$80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{465DBA09-4F56-497A-924C-C1A95E8F1DBF}</c15:txfldGUID>
                      <c15:f>'PGA correlation'!$B$80</c15:f>
                      <c15:dlblFieldTableCache>
                        <c:ptCount val="1"/>
                      </c15:dlblFieldTableCache>
                    </c15:dlblFTEntry>
                  </c15:dlblFieldTable>
                  <c15:showDataLabelsRange val="0"/>
                </c:ext>
              </c:extLst>
            </c:dLbl>
            <c:dLbl>
              <c:idx val="77"/>
              <c:tx>
                <c:strRef>
                  <c:f>'PGA correlation'!$B$81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{1FBAD487-A029-4BA8-B623-DB01434B3330}</c15:txfldGUID>
                      <c15:f>'PGA correlation'!$B$81</c15:f>
                      <c15:dlblFieldTableCache>
                        <c:ptCount val="1"/>
                      </c15:dlblFieldTableCache>
                    </c15:dlblFTEntry>
                  </c15:dlblFieldTable>
                  <c15:showDataLabelsRange val="0"/>
                </c:ext>
              </c:extLst>
            </c:dLbl>
            <c:dLbl>
              <c:idx val="78"/>
              <c:tx>
                <c:strRef>
                  <c:f>'PGA correlation'!$B$82</c:f>
                  <c:strCache>
                    <c:ptCount val="1"/>
                    <c:pt idx="0">
                      <c:v>San Jose (CA)</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{AD878B78-5DE3-413F-BC8A-DFA3241A1B2A}</c15:txfldGUID>
                      <c15:f>'PGA correlation'!$B$82</c15:f>
                      <c15:dlblFieldTableCache>
                        <c:ptCount val="1"/>
                        <c:pt idx="0">
                          <c:v>San Jose (CA)</c:v>
                        </c:pt>
                      </c15:dlblFieldTableCache>
                    </c15:dlblFTEntry>
                  </c15:dlblFieldTable>
                  <c15:showDataLabelsRange val="0"/>
                </c:ext>
              </c:extLst>
            </c:dLbl>
            <c:dLbl>
              <c:idx val="79"/>
              <c:tx>
                <c:strRef>
                  <c:f>'PGA correlation'!$B$83</c:f>
                  <c:strCache>
                    <c:ptCount val="1"/>
                    <c:pt idx="0">
                      <c:v>San Fran (CA)</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{C5CCECB7-A6BA-4A80-A9D7-163951E52E41}</c15:txfldGUID>
                      <c15:f>'PGA correlation'!$B$83</c15:f>
                      <c15:dlblFieldTableCache>
                        <c:ptCount val="1"/>
                        <c:pt idx="0">
                          <c:v>San Fran (CA)</c:v>
                        </c:pt>
                      </c15:dlblFieldTableCache>
                    </c15:dlblFTEntry>
                  </c15:dlblFieldTable>
                  <c15:showDataLabelsRange val="0"/>
                </c:ext>
              </c:extLst>
            </c:dLbl>
            <c:dLbl>
              <c:idx val="80"/>
              <c:layout>
                <c:manualLayout>
                  <c:x val="-6.4735619559807981E-3"/>
                  <c:y val="-2.6955104681316623E-3"/>
                </c:manualLayout>
              </c:layout>
              <c:tx>
                <c:strRef>
                  <c:f>'PGA correlation'!$B$84</c:f>
                  <c:strCache>
                    <c:ptCount val="1"/>
                    <c:pt idx="0">
                      <c:v>Charleston</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{BDFCC84B-B107-4F81-952D-AA7B7506CB1F}</c15:txfldGUID>
                      <c15:f>'PGA correlation'!$B$84</c15:f>
                      <c15:dlblFieldTableCache>
                        <c:ptCount val="1"/>
                        <c:pt idx="0">
                          <c:v>Charleston</c:v>
                        </c:pt>
                      </c15:dlblFieldTableCache>
                    </c15:dlblFTEntry>
                  </c15:dlblFieldTable>
                  <c15:showDataLabelsRange val="0"/>
                </c:ext>
              </c:extLst>
            </c:dLbl>
            <c:dLbl>
              <c:idx val="81"/>
              <c:tx>
                <c:strRef>
                  <c:f>'PGA correlation'!$B$85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{71315405-37FC-43C7-A489-EB7433BA5B98}</c15:txfldGUID>
                      <c15:f>'PGA correlation'!$B$85</c15:f>
                      <c15:dlblFieldTableCache>
                        <c:ptCount val="1"/>
                      </c15:dlblFieldTableCache>
                    </c15:dlblFTEntry>
                  </c15:dlblFieldTable>
                  <c15:showDataLabelsRange val="0"/>
                </c:ext>
              </c:extLst>
            </c:dLbl>
            <c:dLbl>
              <c:idx val="82"/>
              <c:tx>
                <c:strRef>
                  <c:f>'PGA correlation'!$B$86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{C8D90BEC-092F-411C-B5F9-0D8A88446384}</c15:txfldGUID>
                      <c15:f>'PGA correlation'!$B$86</c15:f>
                      <c15:dlblFieldTableCache>
                        <c:ptCount val="1"/>
                      </c15:dlblFieldTableCache>
                    </c15:dlblFTEntry>
                  </c15:dlblFieldTable>
                  <c15:showDataLabelsRange val="0"/>
                </c:ext>
              </c:extLst>
            </c:dLbl>
            <c:dLbl>
              <c:idx val="83"/>
              <c:tx>
                <c:strRef>
                  <c:f>'PGA correlation'!$B$87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{410BAEA0-2AD5-4835-9E51-912EA3B201CA}</c15:txfldGUID>
                      <c15:f>'PGA correlation'!$B$87</c15:f>
                      <c15:dlblFieldTableCache>
                        <c:ptCount val="1"/>
                      </c15:dlblFieldTableCache>
                    </c15:dlblFTEntry>
                  </c15:dlblFieldTable>
                  <c15:showDataLabelsRange val="0"/>
                </c:ext>
              </c:extLst>
            </c:dLbl>
            <c:dLbl>
              <c:idx val="84"/>
              <c:tx>
                <c:strRef>
                  <c:f>'PGA correlation'!$B$88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{CC8ABAB7-6175-4EE1-860A-DC1471AEC295}</c15:txfldGUID>
                      <c15:f>'PGA correlation'!$B$88</c15:f>
                      <c15:dlblFieldTableCache>
                        <c:ptCount val="1"/>
                      </c15:dlblFieldTableCache>
                    </c15:dlblFTEntry>
                  </c15:dlblFieldTable>
                  <c15:showDataLabelsRange val="0"/>
                </c:ext>
              </c:extLst>
            </c:dLbl>
            <c:dLbl>
              <c:idx val="85"/>
              <c:layout/>
              <c:tx>
                <c:strRef>
                  <c:f>'PGA correlation'!$B$89</c:f>
                  <c:strCache>
                    <c:ptCount val="1"/>
                    <c:pt idx="0">
                      <c:v>Santa Monica (CA)</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{B488A080-877E-4B48-992F-09F254988C65}</c15:txfldGUID>
                      <c15:f>'PGA correlation'!$B$89</c15:f>
                      <c15:dlblFieldTableCache>
                        <c:ptCount val="1"/>
                        <c:pt idx="0">
                          <c:v>Santa Monica (CA)</c:v>
                        </c:pt>
                      </c15:dlblFieldTableCache>
                    </c15:dlblFTEntry>
                  </c15:dlblFieldTable>
                  <c15:showDataLabelsRange val="0"/>
                </c:ext>
              </c:extLst>
            </c:dLbl>
            <c:dLbl>
              <c:idx val="86"/>
              <c:tx>
                <c:strRef>
                  <c:f>'PGA correlation'!$B$90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{0290003B-F3C7-4B52-A75E-9D7331BE0690}</c15:txfldGUID>
                      <c15:f>'PGA correlation'!$B$90</c15:f>
                      <c15:dlblFieldTableCache>
                        <c:ptCount val="1"/>
                      </c15:dlblFieldTableCache>
                    </c15:dlblFTEntry>
                  </c15:dlblFieldTable>
                  <c15:showDataLabelsRange val="0"/>
                </c:ext>
              </c:extLst>
            </c:dLbl>
            <c:dLbl>
              <c:idx val="87"/>
              <c:tx>
                <c:strRef>
                  <c:f>'PGA correlation'!$B$91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{9DF55C31-AF58-4F4B-AE97-D4BB903A6815}</c15:txfldGUID>
                      <c15:f>'PGA correlation'!$B$91</c15:f>
                      <c15:dlblFieldTableCache>
                        <c:ptCount val="1"/>
                      </c15:dlblFieldTableCache>
                    </c15:dlblFTEntry>
                  </c15:dlblFieldTable>
                  <c15:showDataLabelsRange val="0"/>
                </c:ext>
              </c:extLst>
            </c:dLbl>
            <c:dLbl>
              <c:idx val="88"/>
              <c:tx>
                <c:strRef>
                  <c:f>'PGA correlation'!$B$92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{0C0D447C-52DB-42D1-90C1-9632A3AF7B05}</c15:txfldGUID>
                      <c15:f>'PGA correlation'!$B$92</c15:f>
                      <c15:dlblFieldTableCache>
                        <c:ptCount val="1"/>
                      </c15:dlblFieldTableCache>
                    </c15:dlblFTEntry>
                  </c15:dlblFieldTable>
                  <c15:showDataLabelsRange val="0"/>
                </c:ext>
              </c:extLst>
            </c:dLbl>
            <c:dLbl>
              <c:idx val="89"/>
              <c:tx>
                <c:strRef>
                  <c:f>'PGA correlation'!$B$93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{3CA2E16C-7478-4BD4-A69F-A823658358D7}</c15:txfldGUID>
                      <c15:f>'PGA correlation'!$B$93</c15:f>
                      <c15:dlblFieldTableCache>
                        <c:ptCount val="1"/>
                      </c15:dlblFieldTableCache>
                    </c15:dlblFTEntry>
                  </c15:dlblFieldTable>
                  <c15:showDataLabelsRange val="0"/>
                </c:ext>
              </c:extLst>
            </c:dLbl>
            <c:dLbl>
              <c:idx val="90"/>
              <c:layout>
                <c:manualLayout>
                  <c:x val="-4.3157079706538657E-3"/>
                  <c:y val="0"/>
                </c:manualLayout>
              </c:layout>
              <c:tx>
                <c:strRef>
                  <c:f>'PGA correlation'!$B$94</c:f>
                  <c:strCache>
                    <c:ptCount val="1"/>
                    <c:pt idx="0">
                      <c:v>Los Angeles (CA)</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{906455B9-5F4A-4809-9001-E33E24DF4CD7}</c15:txfldGUID>
                      <c15:f>'PGA correlation'!$B$94</c15:f>
                      <c15:dlblFieldTableCache>
                        <c:ptCount val="1"/>
                        <c:pt idx="0">
                          <c:v>Los Angeles (CA)</c:v>
                        </c:pt>
                      </c15:dlblFieldTableCache>
                    </c15:dlblFTEntry>
                  </c15:dlblFieldTable>
                  <c15:showDataLabelsRange val="0"/>
                </c:ext>
              </c:extLst>
            </c:dLbl>
            <c:dLbl>
              <c:idx val="91"/>
              <c:tx>
                <c:strRef>
                  <c:f>'PGA correlation'!$B$95</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{01B3AF3B-5133-445E-B0CE-B4B553435444}</c15:txfldGUID>
                      <c15:f>'PGA correlation'!$B$95</c15:f>
                      <c15:dlblFieldTableCache>
                        <c:ptCount val="1"/>
                      </c15:dlblFieldTableCache>
                    </c15:dlblFTEntry>
                  </c15:dlblFieldTable>
                  <c15:showDataLabelsRange val="0"/>
                </c:ext>
              </c:extLst>
            </c:dLbl>
            <c:dLbl>
              <c:idx val="92"/>
              <c:tx>
                <c:strRef>
                  <c:f>'PGA correlation'!$B$96</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{C85DB3B8-3988-475D-95B7-BB6C27F26980}</c15:txfldGUID>
                      <c15:f>'PGA correlation'!$B$96</c15:f>
                      <c15:dlblFieldTableCache>
                        <c:ptCount val="1"/>
                      </c15:dlblFieldTableCache>
                    </c15:dlblFTEntry>
                  </c15:dlblFieldTable>
                  <c15:showDataLabelsRange val="0"/>
                </c:ext>
              </c:extLst>
            </c:dLbl>
            <c:dLbl>
              <c:idx val="93"/>
              <c:layout/>
              <c:tx>
                <c:strRef>
                  <c:f>'PGA correlation'!$B$97</c:f>
                  <c:strCache>
                    <c:ptCount val="1"/>
                    <c:pt idx="0">
                      <c:v>Berkeley (CA)</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{7C1B7844-570E-4DC1-8B36-23E96713C3CA}</c15:txfldGUID>
                      <c15:f>'PGA correlation'!$B$97</c15:f>
                      <c15:dlblFieldTableCache>
                        <c:ptCount val="1"/>
                        <c:pt idx="0">
                          <c:v>Berkeley (CA)</c:v>
                        </c:pt>
                      </c15:dlblFieldTableCache>
                    </c15:dlblFTEntry>
                  </c15:dlblFieldTable>
                  <c15:showDataLabelsRange val="0"/>
                </c:ext>
              </c:extLst>
            </c:dLbl>
            <c:dLbl>
              <c:idx val="94"/>
              <c:tx>
                <c:strRef>
                  <c:f>'PGA correlation'!$B$98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{E1717A17-65BC-44A5-A2CB-14010A87A426}</c15:txfldGUID>
                      <c15:f>'PGA correlation'!$B$98</c15:f>
                      <c15:dlblFieldTableCache>
                        <c:ptCount val="1"/>
                      </c15:dlblFieldTableCache>
                    </c15:dlblFTEntry>
                  </c15:dlblFieldTable>
                  <c15:showDataLabelsRange val="0"/>
                </c:ext>
              </c:extLst>
            </c:dLbl>
            <c:dLbl>
              <c:idx val="95"/>
              <c:tx>
                <c:strRef>
                  <c:f>'PGA correlation'!$B$99</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{73C2ABD9-8F99-461C-B03E-7266E3CAFCD8}</c15:txfldGUID>
                      <c15:f>'PGA correlation'!$B$99</c15:f>
                      <c15:dlblFieldTableCache>
                        <c:ptCount val="1"/>
                      </c15:dlblFieldTableCache>
                    </c15:dlblFTEntry>
                  </c15:dlblFieldTable>
                  <c15:showDataLabelsRange val="0"/>
                </c:ext>
              </c:extLst>
            </c:dLbl>
            <c:dLbl>
              <c:idx val="96"/>
              <c:tx>
                <c:strRef>
                  <c:f>'PGA correlation'!$B$100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{BC8A1E48-8AE6-4732-8BF4-9C0B6137E28C}</c15:txfldGUID>
                      <c15:f>'PGA correlation'!$B$100</c15:f>
                      <c15:dlblFieldTableCache>
                        <c:ptCount val="1"/>
                      </c15:dlblFieldTableCache>
                    </c15:dlblFTEntry>
                  </c15:dlblFieldTable>
                  <c15:showDataLabelsRange val="0"/>
                </c:ext>
              </c:extLst>
            </c:dLbl>
            <c:dLbl>
              <c:idx val="97"/>
              <c:tx>
                <c:strRef>
                  <c:f>'PGA correlation'!$B$101</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{112AA706-DC81-46BC-801F-79108C0CC038}</c15:txfldGUID>
                      <c15:f>'PGA correlation'!$B$101</c15:f>
                      <c15:dlblFieldTableCache>
                        <c:ptCount val="1"/>
                      </c15:dlblFieldTableCache>
                    </c15:dlblFTEntry>
                  </c15:dlblFieldTable>
                  <c15:showDataLabelsRange val="0"/>
                </c:ext>
              </c:extLst>
            </c:dLbl>
            <c:dLbl>
              <c:idx val="98"/>
              <c:tx>
                <c:strRef>
                  <c:f>'PGA correlation'!$B$102</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{1B99FEAD-2363-4D7F-B4E4-4A1A523A0575}</c15:txfldGUID>
                      <c15:f>'PGA correlation'!$B$102</c15:f>
                      <c15:dlblFieldTableCache>
                        <c:ptCount val="1"/>
                      </c15:dlblFieldTableCache>
                    </c15:dlblFTEntry>
                  </c15:dlblFieldTable>
                  <c15:showDataLabelsRange val="0"/>
                </c:ext>
              </c:extLst>
            </c:dLbl>
            <c:dLbl>
              <c:idx val="99"/>
              <c:tx>
                <c:strRef>
                  <c:f>'PGA correlation'!$B$103</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{9543CC4B-97F0-47C8-BDF5-E12DACE7DAE8}</c15:txfldGUID>
                      <c15:f>'PGA correlation'!$B$103</c15:f>
                      <c15:dlblFieldTableCache>
                        <c:ptCount val="1"/>
                      </c15:dlblFieldTableCache>
                    </c15:dlblFTEntry>
                  </c15:dlblFieldTable>
                  <c15:showDataLabelsRange val="0"/>
                </c:ext>
              </c:extLst>
            </c:dLbl>
            <c:dLbl>
              <c:idx val="100"/>
              <c:tx>
                <c:strRef>
                  <c:f>'PGA correlation'!$B$104</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{280B75AD-CE4C-4BB4-8A8D-152EDC2A605B}</c15:txfldGUID>
                      <c15:f>'PGA correlation'!$B$104</c15:f>
                      <c15:dlblFieldTableCache>
                        <c:ptCount val="1"/>
                      </c15:dlblFieldTableCache>
                    </c15:dlblFTEntry>
                  </c15:dlblFieldTable>
                  <c15:showDataLabelsRange val="0"/>
                </c:ext>
              </c:extLst>
            </c:dLbl>
            <c:dLbl>
              <c:idx val="101"/>
              <c:tx>
                <c:strRef>
                  <c:f>'PGA correlation'!$B$105</c:f>
                  <c:strCache>
                    <c:ptCount val="1"/>
                    <c:pt idx="0">
                      <c:v>Moncks Corner</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{4DC3D91F-631D-4F95-9936-714D0D2DB7A6}</c15:txfldGUID>
                      <c15:f>'PGA correlation'!$B$105</c15:f>
                      <c15:dlblFieldTableCache>
                        <c:ptCount val="1"/>
                        <c:pt idx="0">
                          <c:v>Moncks Corner</c:v>
                        </c:pt>
                      </c15:dlblFieldTableCache>
                    </c15:dlblFTEntry>
                  </c15:dlblFieldTable>
                  <c15:showDataLabelsRange val="0"/>
                </c:ext>
              </c:extLst>
            </c:dLbl>
            <c:dLbl>
              <c:idx val="102"/>
              <c:layout/>
              <c:tx>
                <c:strRef>
                  <c:f>'PGA correlation'!$B$106</c:f>
                  <c:strCache>
                    <c:ptCount val="1"/>
                    <c:pt idx="0">
                      <c:v>Eureka (CA)</c:v>
                    </c:pt>
                  </c:strCache>
                </c:strRef>
              </c:tx>
              <c:dLblPos val="r"/>
              <c:showLegendKey val="0"/>
              <c:showVal val="1"/>
              <c:showCatName val="0"/>
              <c:showSerName val="0"/>
              <c:showPercent val="0"/>
              <c:showBubbleSize val="0"/>
              <c:extLst>
                <c:ext xmlns:c15="http://schemas.microsoft.com/office/drawing/2012/chart" uri="{CE6537A1-D6FC-4f65-9D91-7224C49458BB}">
                  <c15:layout/>
                  <c15:dlblFieldTable>
                    <c15:dlblFTEntry>
                      <c15:txfldGUID>{0F9C3ECF-814D-4B6A-96E1-40886FBB3B46}</c15:txfldGUID>
                      <c15:f>'PGA correlation'!$B$106</c15:f>
                      <c15:dlblFieldTableCache>
                        <c:ptCount val="1"/>
                        <c:pt idx="0">
                          <c:v>Eureka (CA)</c:v>
                        </c:pt>
                      </c15:dlblFieldTableCache>
                    </c15:dlblFTEntry>
                  </c15:dlblFieldTable>
                  <c15:showDataLabelsRange val="0"/>
                </c:ext>
              </c:extLst>
            </c:dLbl>
            <c:dLbl>
              <c:idx val="103"/>
              <c:tx>
                <c:strRef>
                  <c:f>'PGA correlation'!$B$107</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{B32F12F8-B425-4FB1-BFB7-FFCEA54D1913}</c15:txfldGUID>
                      <c15:f>'PGA correlation'!$B$107</c15:f>
                      <c15:dlblFieldTableCache>
                        <c:ptCount val="1"/>
                      </c15:dlblFieldTableCache>
                    </c15:dlblFTEntry>
                  </c15:dlblFieldTable>
                  <c15:showDataLabelsRange val="0"/>
                </c:ext>
              </c:extLst>
            </c:dLbl>
            <c:dLbl>
              <c:idx val="104"/>
              <c:tx>
                <c:strRef>
                  <c:f>'PGA correlation'!$B$108</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{FA6D42F8-DBCD-40FB-AC4E-B3D914714F29}</c15:txfldGUID>
                      <c15:f>'PGA correlation'!$B$108</c15:f>
                      <c15:dlblFieldTableCache>
                        <c:ptCount val="1"/>
                      </c15:dlblFieldTableCache>
                    </c15:dlblFTEntry>
                  </c15:dlblFieldTable>
                  <c15:showDataLabelsRange val="0"/>
                </c:ext>
              </c:extLst>
            </c:dLbl>
            <c:dLbl>
              <c:idx val="105"/>
              <c:tx>
                <c:strRef>
                  <c:f>'PGA correlation'!$B$109</c:f>
                  <c:strCache>
                    <c:ptCount val="1"/>
                    <c:pt idx="0">
                      <c:v>New Madrid (MO)</c:v>
                    </c:pt>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{B8628B56-745A-4C09-AC26-4C18398EDEBD}</c15:txfldGUID>
                      <c15:f>'PGA correlation'!$B$109</c15:f>
                      <c15:dlblFieldTableCache>
                        <c:ptCount val="1"/>
                        <c:pt idx="0">
                          <c:v>New Madrid (MO)</c:v>
                        </c:pt>
                      </c15:dlblFieldTableCache>
                    </c15:dlblFTEntry>
                  </c15:dlblFieldTable>
                  <c15:showDataLabelsRange val="0"/>
                </c:ext>
              </c:extLst>
            </c:dLbl>
            <c:dLbl>
              <c:idx val="106"/>
              <c:tx>
                <c:strRef>
                  <c:f>'PGA correlation'!$B$110</c:f>
                  <c:strCache>
                    <c:ptCount val="1"/>
                  </c:strCache>
                </c:strRef>
              </c:tx>
              <c:spPr>
                <a:noFill/>
                <a:ln>
                  <a:noFill/>
                </a:ln>
                <a:effectLs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dlblFTEntry>
                      <c15:txfldGUID>{C86A81B1-4516-427B-9FF7-153EE8166ED6}</c15:txfldGUID>
                      <c15:f>'PGA correlation'!$B$110</c15:f>
                      <c15:dlblFieldTableCache>
                        <c:ptCount val="1"/>
                      </c15:dlblFieldTableCache>
                    </c15:dlblFTEntry>
                  </c15:dlblFieldTable>
                  <c15:showDataLabelsRange val="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trendline>
            <c:spPr>
              <a:ln w="19050" cap="rnd">
                <a:solidFill>
                  <a:schemeClr val="bg1">
                    <a:lumMod val="65000"/>
                  </a:schemeClr>
                </a:solidFill>
                <a:prstDash val="sysDot"/>
              </a:ln>
              <a:effectLst/>
            </c:spPr>
            <c:trendlineType val="exp"/>
            <c:dispRSqr val="1"/>
            <c:dispEq val="1"/>
            <c:trendlineLbl>
              <c:layout>
                <c:manualLayout>
                  <c:x val="-2.0818023755763474E-2"/>
                  <c:y val="-0.40750790930689723"/>
                </c:manualLayout>
              </c:layout>
              <c:numFmt formatCode="General" sourceLinked="0"/>
              <c:spPr>
                <a:solidFill>
                  <a:schemeClr val="bg1"/>
                </a:solidFill>
                <a:ln>
                  <a:solidFill>
                    <a:schemeClr val="tx1"/>
                  </a:solidFill>
                </a:ln>
                <a:effectLst/>
              </c:spPr>
              <c:txPr>
                <a:bodyPr rot="0" vert="horz"/>
                <a:lstStyle/>
                <a:p>
                  <a:pPr>
                    <a:defRPr/>
                  </a:pPr>
                  <a:endParaRPr lang="en-US"/>
                </a:p>
              </c:txPr>
            </c:trendlineLbl>
          </c:trendline>
          <c:xVal>
            <c:numRef>
              <c:f>'PGA correlation'!$C$4:$C$110</c:f>
              <c:numCache>
                <c:formatCode>0.0000</c:formatCode>
                <c:ptCount val="107"/>
                <c:pt idx="0">
                  <c:v>2.7629999999999998E-2</c:v>
                </c:pt>
                <c:pt idx="1">
                  <c:v>4.956E-2</c:v>
                </c:pt>
                <c:pt idx="2">
                  <c:v>4.956E-2</c:v>
                </c:pt>
                <c:pt idx="3">
                  <c:v>4.956E-2</c:v>
                </c:pt>
                <c:pt idx="4">
                  <c:v>8.7889999999999996E-2</c:v>
                </c:pt>
                <c:pt idx="5">
                  <c:v>9.153E-2</c:v>
                </c:pt>
                <c:pt idx="6">
                  <c:v>9.153E-2</c:v>
                </c:pt>
                <c:pt idx="7">
                  <c:v>0.11493</c:v>
                </c:pt>
                <c:pt idx="8">
                  <c:v>0.11493</c:v>
                </c:pt>
                <c:pt idx="9">
                  <c:v>0.11493</c:v>
                </c:pt>
                <c:pt idx="10">
                  <c:v>0.12318</c:v>
                </c:pt>
                <c:pt idx="11">
                  <c:v>0.12318</c:v>
                </c:pt>
                <c:pt idx="12">
                  <c:v>0.1232</c:v>
                </c:pt>
                <c:pt idx="13">
                  <c:v>0.12318</c:v>
                </c:pt>
                <c:pt idx="14">
                  <c:v>0.12361999999999999</c:v>
                </c:pt>
                <c:pt idx="15">
                  <c:v>0.1236</c:v>
                </c:pt>
                <c:pt idx="16">
                  <c:v>0.12361999999999999</c:v>
                </c:pt>
                <c:pt idx="17">
                  <c:v>0.14394000000000001</c:v>
                </c:pt>
                <c:pt idx="18">
                  <c:v>0.14394000000000001</c:v>
                </c:pt>
                <c:pt idx="19">
                  <c:v>0.14394000000000001</c:v>
                </c:pt>
                <c:pt idx="20">
                  <c:v>0.14394000000000001</c:v>
                </c:pt>
                <c:pt idx="21">
                  <c:v>0.14394000000000001</c:v>
                </c:pt>
                <c:pt idx="22">
                  <c:v>0.14394000000000001</c:v>
                </c:pt>
                <c:pt idx="23">
                  <c:v>0.14394000000000001</c:v>
                </c:pt>
                <c:pt idx="24">
                  <c:v>0.14394000000000001</c:v>
                </c:pt>
                <c:pt idx="25">
                  <c:v>0.1472</c:v>
                </c:pt>
                <c:pt idx="26">
                  <c:v>0.17849999999999999</c:v>
                </c:pt>
                <c:pt idx="27">
                  <c:v>0.17849999999999999</c:v>
                </c:pt>
                <c:pt idx="28">
                  <c:v>0.17849999999999999</c:v>
                </c:pt>
                <c:pt idx="29">
                  <c:v>0.17849999999999999</c:v>
                </c:pt>
                <c:pt idx="30">
                  <c:v>0.17849999999999999</c:v>
                </c:pt>
                <c:pt idx="31">
                  <c:v>0.17849999999999999</c:v>
                </c:pt>
                <c:pt idx="32">
                  <c:v>0.17849999999999999</c:v>
                </c:pt>
                <c:pt idx="33">
                  <c:v>0.17849999999999999</c:v>
                </c:pt>
                <c:pt idx="34">
                  <c:v>0.2369</c:v>
                </c:pt>
                <c:pt idx="35">
                  <c:v>0.2369</c:v>
                </c:pt>
                <c:pt idx="36">
                  <c:v>0.2369</c:v>
                </c:pt>
                <c:pt idx="37">
                  <c:v>0.2369</c:v>
                </c:pt>
                <c:pt idx="38">
                  <c:v>0.25559999999999999</c:v>
                </c:pt>
                <c:pt idx="39">
                  <c:v>0.25559999999999999</c:v>
                </c:pt>
                <c:pt idx="40">
                  <c:v>0.25559999999999999</c:v>
                </c:pt>
                <c:pt idx="41">
                  <c:v>0.25559999999999999</c:v>
                </c:pt>
                <c:pt idx="42">
                  <c:v>0.25559999999999999</c:v>
                </c:pt>
                <c:pt idx="43">
                  <c:v>0.32640000000000002</c:v>
                </c:pt>
                <c:pt idx="44">
                  <c:v>0.32640000000000002</c:v>
                </c:pt>
                <c:pt idx="45">
                  <c:v>0.32640000000000002</c:v>
                </c:pt>
                <c:pt idx="46">
                  <c:v>0.32640000000000002</c:v>
                </c:pt>
                <c:pt idx="47">
                  <c:v>0.32640000000000002</c:v>
                </c:pt>
                <c:pt idx="48">
                  <c:v>0.41870000000000002</c:v>
                </c:pt>
                <c:pt idx="49">
                  <c:v>0.41870000000000002</c:v>
                </c:pt>
                <c:pt idx="50">
                  <c:v>0.41870000000000002</c:v>
                </c:pt>
                <c:pt idx="51">
                  <c:v>0.41870000000000002</c:v>
                </c:pt>
                <c:pt idx="52">
                  <c:v>0.41870000000000002</c:v>
                </c:pt>
                <c:pt idx="53" formatCode="General">
                  <c:v>0.43659999999999999</c:v>
                </c:pt>
                <c:pt idx="54" formatCode="General">
                  <c:v>0.43659999999999999</c:v>
                </c:pt>
                <c:pt idx="55" formatCode="General">
                  <c:v>0.43659999999999999</c:v>
                </c:pt>
                <c:pt idx="56" formatCode="General">
                  <c:v>0.49880000000000002</c:v>
                </c:pt>
                <c:pt idx="57" formatCode="General">
                  <c:v>0.49880000000000002</c:v>
                </c:pt>
                <c:pt idx="58" formatCode="General">
                  <c:v>0.49880000000000002</c:v>
                </c:pt>
                <c:pt idx="59" formatCode="General">
                  <c:v>0.57110000000000005</c:v>
                </c:pt>
                <c:pt idx="60" formatCode="General">
                  <c:v>0.57110000000000005</c:v>
                </c:pt>
                <c:pt idx="61" formatCode="General">
                  <c:v>0.57110000000000005</c:v>
                </c:pt>
                <c:pt idx="62">
                  <c:v>0.61609999999999998</c:v>
                </c:pt>
                <c:pt idx="63">
                  <c:v>0.61609999999999998</c:v>
                </c:pt>
                <c:pt idx="64">
                  <c:v>0.61609999999999998</c:v>
                </c:pt>
                <c:pt idx="65">
                  <c:v>0.61609999999999998</c:v>
                </c:pt>
                <c:pt idx="66">
                  <c:v>0.61609999999999998</c:v>
                </c:pt>
                <c:pt idx="67">
                  <c:v>0.61609999999999998</c:v>
                </c:pt>
                <c:pt idx="68">
                  <c:v>0.61609999999999998</c:v>
                </c:pt>
                <c:pt idx="69">
                  <c:v>0.64319999999999999</c:v>
                </c:pt>
                <c:pt idx="70">
                  <c:v>0.64780000000000004</c:v>
                </c:pt>
                <c:pt idx="71">
                  <c:v>0.64780000000000004</c:v>
                </c:pt>
                <c:pt idx="72">
                  <c:v>0.64780000000000004</c:v>
                </c:pt>
                <c:pt idx="73">
                  <c:v>0.64780000000000004</c:v>
                </c:pt>
                <c:pt idx="74">
                  <c:v>0.64780000000000004</c:v>
                </c:pt>
                <c:pt idx="75">
                  <c:v>0.64780000000000004</c:v>
                </c:pt>
                <c:pt idx="76">
                  <c:v>0.64780000000000004</c:v>
                </c:pt>
                <c:pt idx="77">
                  <c:v>0.64780000000000004</c:v>
                </c:pt>
                <c:pt idx="78">
                  <c:v>0.69110000000000005</c:v>
                </c:pt>
                <c:pt idx="79">
                  <c:v>0.72540000000000004</c:v>
                </c:pt>
                <c:pt idx="80">
                  <c:v>0.72870000000000001</c:v>
                </c:pt>
                <c:pt idx="81">
                  <c:v>0.72870000000000001</c:v>
                </c:pt>
                <c:pt idx="82">
                  <c:v>0.72870000000000001</c:v>
                </c:pt>
                <c:pt idx="83">
                  <c:v>0.72870000000000001</c:v>
                </c:pt>
                <c:pt idx="84">
                  <c:v>0.72870000000000001</c:v>
                </c:pt>
                <c:pt idx="85">
                  <c:v>0.74150000000000005</c:v>
                </c:pt>
                <c:pt idx="86">
                  <c:v>0.74150000000000005</c:v>
                </c:pt>
                <c:pt idx="87">
                  <c:v>0.74150000000000005</c:v>
                </c:pt>
                <c:pt idx="88">
                  <c:v>0.74150000000000005</c:v>
                </c:pt>
                <c:pt idx="89">
                  <c:v>0.74150000000000005</c:v>
                </c:pt>
                <c:pt idx="90">
                  <c:v>0.92479999999999996</c:v>
                </c:pt>
                <c:pt idx="91">
                  <c:v>0.92479999999999996</c:v>
                </c:pt>
                <c:pt idx="92">
                  <c:v>0.92479999999999996</c:v>
                </c:pt>
                <c:pt idx="93">
                  <c:v>1.1339999999999999</c:v>
                </c:pt>
                <c:pt idx="94">
                  <c:v>1.1339999999999999</c:v>
                </c:pt>
                <c:pt idx="95">
                  <c:v>1.1339999999999999</c:v>
                </c:pt>
                <c:pt idx="96">
                  <c:v>1.1339999999999999</c:v>
                </c:pt>
                <c:pt idx="97">
                  <c:v>1.1339999999999999</c:v>
                </c:pt>
                <c:pt idx="98">
                  <c:v>1.1339999999999999</c:v>
                </c:pt>
                <c:pt idx="99">
                  <c:v>1.1339999999999999</c:v>
                </c:pt>
                <c:pt idx="100">
                  <c:v>1.1339999999999999</c:v>
                </c:pt>
                <c:pt idx="101">
                  <c:v>1.3423</c:v>
                </c:pt>
                <c:pt idx="102">
                  <c:v>1.4004000000000001</c:v>
                </c:pt>
                <c:pt idx="103">
                  <c:v>1.4004000000000001</c:v>
                </c:pt>
                <c:pt idx="104">
                  <c:v>1.4004000000000001</c:v>
                </c:pt>
                <c:pt idx="105">
                  <c:v>1.8402000000000001</c:v>
                </c:pt>
                <c:pt idx="106">
                  <c:v>1.8402000000000001</c:v>
                </c:pt>
              </c:numCache>
            </c:numRef>
          </c:xVal>
          <c:yVal>
            <c:numRef>
              <c:f>'PGA correlation'!$Q$4:$Q$110</c:f>
              <c:numCache>
                <c:formatCode>0.000</c:formatCode>
                <c:ptCount val="107"/>
                <c:pt idx="1">
                  <c:v>54.73</c:v>
                </c:pt>
                <c:pt idx="10">
                  <c:v>34.72</c:v>
                </c:pt>
                <c:pt idx="14">
                  <c:v>66.138999999999996</c:v>
                </c:pt>
                <c:pt idx="26">
                  <c:v>47.44</c:v>
                </c:pt>
                <c:pt idx="34">
                  <c:v>22.88</c:v>
                </c:pt>
                <c:pt idx="38">
                  <c:v>54.249000000000002</c:v>
                </c:pt>
                <c:pt idx="43">
                  <c:v>77</c:v>
                </c:pt>
                <c:pt idx="48">
                  <c:v>47.84</c:v>
                </c:pt>
                <c:pt idx="53">
                  <c:v>49.02</c:v>
                </c:pt>
                <c:pt idx="56">
                  <c:v>34.270000000000003</c:v>
                </c:pt>
                <c:pt idx="59">
                  <c:v>19.89</c:v>
                </c:pt>
                <c:pt idx="70">
                  <c:v>7.14</c:v>
                </c:pt>
                <c:pt idx="80">
                  <c:v>33.119999999999997</c:v>
                </c:pt>
                <c:pt idx="85">
                  <c:v>6.5</c:v>
                </c:pt>
                <c:pt idx="90">
                  <c:v>19.5</c:v>
                </c:pt>
                <c:pt idx="93">
                  <c:v>5.1100000000000003</c:v>
                </c:pt>
                <c:pt idx="102">
                  <c:v>6.64</c:v>
                </c:pt>
              </c:numCache>
            </c:numRef>
          </c:yVal>
          <c:smooth val="0"/>
        </c:ser>
        <c:ser>
          <c:idx val="0"/>
          <c:order val="1"/>
          <c:tx>
            <c:v>0 - 0.04</c:v>
          </c:tx>
          <c:spPr>
            <a:ln w="15875">
              <a:solidFill>
                <a:schemeClr val="tx1"/>
              </a:solidFill>
              <a:prstDash val="dash"/>
            </a:ln>
          </c:spPr>
          <c:marker>
            <c:symbol val="none"/>
          </c:marker>
          <c:xVal>
            <c:numRef>
              <c:f>'PGA correlation'!$AU$8:$AU$9</c:f>
              <c:numCache>
                <c:formatCode>General</c:formatCode>
                <c:ptCount val="2"/>
                <c:pt idx="0">
                  <c:v>0.04</c:v>
                </c:pt>
                <c:pt idx="1">
                  <c:v>0.04</c:v>
                </c:pt>
              </c:numCache>
            </c:numRef>
          </c:xVal>
          <c:yVal>
            <c:numRef>
              <c:f>'PGA correlation'!$AV$8:$AV$9</c:f>
              <c:numCache>
                <c:formatCode>General</c:formatCode>
                <c:ptCount val="2"/>
                <c:pt idx="0">
                  <c:v>1.0000000000000001E-5</c:v>
                </c:pt>
                <c:pt idx="1">
                  <c:v>100</c:v>
                </c:pt>
              </c:numCache>
            </c:numRef>
          </c:yVal>
          <c:smooth val="0"/>
        </c:ser>
        <c:ser>
          <c:idx val="1"/>
          <c:order val="2"/>
          <c:tx>
            <c:v>0.04 - 0.08</c:v>
          </c:tx>
          <c:spPr>
            <a:ln w="15875">
              <a:solidFill>
                <a:schemeClr val="tx1"/>
              </a:solidFill>
              <a:prstDash val="dash"/>
            </a:ln>
          </c:spPr>
          <c:marker>
            <c:symbol val="none"/>
          </c:marker>
          <c:xVal>
            <c:numRef>
              <c:f>'PGA correlation'!$AU$10:$AU$11</c:f>
              <c:numCache>
                <c:formatCode>General</c:formatCode>
                <c:ptCount val="2"/>
                <c:pt idx="0">
                  <c:v>0.08</c:v>
                </c:pt>
                <c:pt idx="1">
                  <c:v>0.08</c:v>
                </c:pt>
              </c:numCache>
            </c:numRef>
          </c:xVal>
          <c:yVal>
            <c:numRef>
              <c:f>'PGA correlation'!$AV$10:$AV$11</c:f>
              <c:numCache>
                <c:formatCode>General</c:formatCode>
                <c:ptCount val="2"/>
                <c:pt idx="0">
                  <c:v>1.0000000000000001E-5</c:v>
                </c:pt>
                <c:pt idx="1">
                  <c:v>100</c:v>
                </c:pt>
              </c:numCache>
            </c:numRef>
          </c:yVal>
          <c:smooth val="0"/>
        </c:ser>
        <c:ser>
          <c:idx val="3"/>
          <c:order val="3"/>
          <c:tx>
            <c:v>0.08 - 0.16</c:v>
          </c:tx>
          <c:spPr>
            <a:ln w="15875">
              <a:solidFill>
                <a:schemeClr val="tx1"/>
              </a:solidFill>
              <a:prstDash val="dash"/>
            </a:ln>
          </c:spPr>
          <c:marker>
            <c:symbol val="none"/>
          </c:marker>
          <c:xVal>
            <c:numRef>
              <c:f>'PGA correlation'!$AU$12:$AU$13</c:f>
              <c:numCache>
                <c:formatCode>General</c:formatCode>
                <c:ptCount val="2"/>
                <c:pt idx="0">
                  <c:v>0.16</c:v>
                </c:pt>
                <c:pt idx="1">
                  <c:v>0.16</c:v>
                </c:pt>
              </c:numCache>
            </c:numRef>
          </c:xVal>
          <c:yVal>
            <c:numRef>
              <c:f>'PGA correlation'!$AV$12:$AV$13</c:f>
              <c:numCache>
                <c:formatCode>General</c:formatCode>
                <c:ptCount val="2"/>
                <c:pt idx="0">
                  <c:v>1.0000000000000001E-5</c:v>
                </c:pt>
                <c:pt idx="1">
                  <c:v>100</c:v>
                </c:pt>
              </c:numCache>
            </c:numRef>
          </c:yVal>
          <c:smooth val="0"/>
        </c:ser>
        <c:ser>
          <c:idx val="4"/>
          <c:order val="4"/>
          <c:tx>
            <c:v>0.16 - 0.32</c:v>
          </c:tx>
          <c:spPr>
            <a:ln w="15875">
              <a:solidFill>
                <a:schemeClr val="tx1"/>
              </a:solidFill>
              <a:prstDash val="dash"/>
            </a:ln>
          </c:spPr>
          <c:marker>
            <c:symbol val="none"/>
          </c:marker>
          <c:xVal>
            <c:numRef>
              <c:f>'PGA correlation'!$AU$14:$AU$15</c:f>
              <c:numCache>
                <c:formatCode>General</c:formatCode>
                <c:ptCount val="2"/>
                <c:pt idx="0">
                  <c:v>0.32</c:v>
                </c:pt>
                <c:pt idx="1">
                  <c:v>0.32</c:v>
                </c:pt>
              </c:numCache>
            </c:numRef>
          </c:xVal>
          <c:yVal>
            <c:numRef>
              <c:f>'PGA correlation'!$AV$14:$AV$15</c:f>
              <c:numCache>
                <c:formatCode>General</c:formatCode>
                <c:ptCount val="2"/>
                <c:pt idx="0">
                  <c:v>1.0000000000000001E-5</c:v>
                </c:pt>
                <c:pt idx="1">
                  <c:v>100</c:v>
                </c:pt>
              </c:numCache>
            </c:numRef>
          </c:yVal>
          <c:smooth val="0"/>
        </c:ser>
        <c:ser>
          <c:idx val="5"/>
          <c:order val="5"/>
          <c:tx>
            <c:v>0.32 - 0.48</c:v>
          </c:tx>
          <c:spPr>
            <a:ln w="15875">
              <a:solidFill>
                <a:schemeClr val="tx1"/>
              </a:solidFill>
              <a:prstDash val="dash"/>
            </a:ln>
          </c:spPr>
          <c:marker>
            <c:symbol val="none"/>
          </c:marker>
          <c:xVal>
            <c:numRef>
              <c:f>'PGA correlation'!$AU$16:$AU$17</c:f>
              <c:numCache>
                <c:formatCode>General</c:formatCode>
                <c:ptCount val="2"/>
                <c:pt idx="0">
                  <c:v>0.48</c:v>
                </c:pt>
                <c:pt idx="1">
                  <c:v>0.48</c:v>
                </c:pt>
              </c:numCache>
            </c:numRef>
          </c:xVal>
          <c:yVal>
            <c:numRef>
              <c:f>'PGA correlation'!$AV$16:$AV$17</c:f>
              <c:numCache>
                <c:formatCode>General</c:formatCode>
                <c:ptCount val="2"/>
                <c:pt idx="0">
                  <c:v>1.0000000000000001E-5</c:v>
                </c:pt>
                <c:pt idx="1">
                  <c:v>100</c:v>
                </c:pt>
              </c:numCache>
            </c:numRef>
          </c:yVal>
          <c:smooth val="0"/>
        </c:ser>
        <c:ser>
          <c:idx val="6"/>
          <c:order val="6"/>
          <c:tx>
            <c:v>0.48 - 0.64</c:v>
          </c:tx>
          <c:spPr>
            <a:ln w="15875">
              <a:solidFill>
                <a:schemeClr val="tx1"/>
              </a:solidFill>
              <a:prstDash val="dash"/>
            </a:ln>
          </c:spPr>
          <c:marker>
            <c:symbol val="none"/>
          </c:marker>
          <c:xVal>
            <c:numRef>
              <c:f>'PGA correlation'!$AU$18:$AU$19</c:f>
              <c:numCache>
                <c:formatCode>General</c:formatCode>
                <c:ptCount val="2"/>
                <c:pt idx="0">
                  <c:v>0.64</c:v>
                </c:pt>
                <c:pt idx="1">
                  <c:v>0.64</c:v>
                </c:pt>
              </c:numCache>
            </c:numRef>
          </c:xVal>
          <c:yVal>
            <c:numRef>
              <c:f>'PGA correlation'!$AV$18:$AV$19</c:f>
              <c:numCache>
                <c:formatCode>General</c:formatCode>
                <c:ptCount val="2"/>
                <c:pt idx="0">
                  <c:v>1.0000000000000001E-5</c:v>
                </c:pt>
                <c:pt idx="1">
                  <c:v>100</c:v>
                </c:pt>
              </c:numCache>
            </c:numRef>
          </c:yVal>
          <c:smooth val="0"/>
        </c:ser>
        <c:dLbls>
          <c:showLegendKey val="0"/>
          <c:showVal val="0"/>
          <c:showCatName val="0"/>
          <c:showSerName val="0"/>
          <c:showPercent val="0"/>
          <c:showBubbleSize val="0"/>
        </c:dLbls>
        <c:axId val="93506944"/>
        <c:axId val="93517312"/>
      </c:scatterChart>
      <c:valAx>
        <c:axId val="93506944"/>
        <c:scaling>
          <c:orientation val="minMax"/>
          <c:max val="2"/>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sz="1200"/>
                </a:pPr>
                <a:r>
                  <a:rPr lang="en-US" sz="1200" i="1"/>
                  <a:t>PGA</a:t>
                </a:r>
                <a:r>
                  <a:rPr lang="en-US" sz="1200"/>
                  <a: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3517312"/>
        <c:crosses val="autoZero"/>
        <c:crossBetween val="midCat"/>
      </c:valAx>
      <c:valAx>
        <c:axId val="93517312"/>
        <c:scaling>
          <c:logBase val="10"/>
          <c:orientation val="minMax"/>
          <c:min val="1"/>
        </c:scaling>
        <c:delete val="0"/>
        <c:axPos val="l"/>
        <c:majorGridlines>
          <c:spPr>
            <a:ln w="9525" cap="flat" cmpd="sng" algn="ctr">
              <a:solidFill>
                <a:schemeClr val="tx1">
                  <a:lumMod val="15000"/>
                  <a:lumOff val="85000"/>
                </a:schemeClr>
              </a:solidFill>
              <a:round/>
            </a:ln>
            <a:effectLst/>
          </c:spPr>
        </c:majorGridlines>
        <c:minorGridlines/>
        <c:title>
          <c:tx>
            <c:rich>
              <a:bodyPr rot="-5400000" vert="horz"/>
              <a:lstStyle/>
              <a:p>
                <a:pPr>
                  <a:defRPr sz="1200"/>
                </a:pPr>
                <a:r>
                  <a:rPr lang="en-US" sz="1200"/>
                  <a:t>Grid Spacing for 5% Max Absolute Percent</a:t>
                </a:r>
                <a:r>
                  <a:rPr lang="en-US" sz="1200" baseline="0"/>
                  <a:t> </a:t>
                </a:r>
                <a:r>
                  <a:rPr lang="en-US" sz="1200"/>
                  <a:t>Error (km)</a:t>
                </a:r>
              </a:p>
            </c:rich>
          </c:tx>
          <c:layout>
            <c:manualLayout>
              <c:xMode val="edge"/>
              <c:yMode val="edge"/>
              <c:x val="1.6794218698493506E-2"/>
              <c:y val="6.8412980928940686E-2"/>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3506944"/>
        <c:crosses val="autoZero"/>
        <c:crossBetween val="midCat"/>
      </c:valAx>
      <c:spPr>
        <a:noFill/>
        <a:ln>
          <a:noFill/>
        </a:ln>
        <a:effectLst/>
      </c:spPr>
    </c:plotArea>
    <c:legend>
      <c:legendPos val="b"/>
      <c:layout>
        <c:manualLayout>
          <c:xMode val="edge"/>
          <c:yMode val="edge"/>
          <c:x val="4.0636128558483878E-2"/>
          <c:y val="0.94064847290118858"/>
          <c:w val="0.93385281385281382"/>
          <c:h val="3.7585435484481268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974237437863"/>
          <c:y val="3.2530661554346439E-2"/>
          <c:w val="0.82958693023399011"/>
          <c:h val="0.86328746568170756"/>
        </c:manualLayout>
      </c:layout>
      <c:scatterChart>
        <c:scatterStyle val="lineMarker"/>
        <c:varyColors val="0"/>
        <c:ser>
          <c:idx val="0"/>
          <c:order val="0"/>
          <c:spPr>
            <a:ln w="25400" cap="rnd">
              <a:noFill/>
              <a:round/>
            </a:ln>
            <a:effectLst/>
          </c:spPr>
          <c:marker>
            <c:symbol val="diamond"/>
            <c:size val="5"/>
            <c:spPr>
              <a:solidFill>
                <a:schemeClr val="tx1"/>
              </a:solidFill>
              <a:ln w="9525">
                <a:solidFill>
                  <a:schemeClr val="tx1"/>
                </a:solidFill>
              </a:ln>
              <a:effectLst/>
            </c:spPr>
          </c:marker>
          <c:dLbls>
            <c:dLbl>
              <c:idx val="0"/>
              <c:layout>
                <c:manualLayout>
                  <c:x val="-8.3945407723506303E-3"/>
                  <c:y val="-9.3567216994163635E-3"/>
                </c:manualLayout>
              </c:layout>
              <c:tx>
                <c:rich>
                  <a:bodyPr/>
                  <a:lstStyle/>
                  <a:p>
                    <a:r>
                      <a:rPr lang="en-US"/>
                      <a:t>Anchorage</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252832313526945E-2"/>
                  <c:y val="-1.2161321314272385E-2"/>
                </c:manualLayout>
              </c:layout>
              <c:tx>
                <c:rich>
                  <a:bodyPr/>
                  <a:lstStyle/>
                  <a:p>
                    <a:r>
                      <a:rPr lang="en-US"/>
                      <a:t>Fairbanks</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692456548672205E-2"/>
                  <c:y val="0"/>
                </c:manualLayout>
              </c:layout>
              <c:tx>
                <c:rich>
                  <a:bodyPr/>
                  <a:lstStyle/>
                  <a:p>
                    <a:r>
                      <a:rPr lang="en-US"/>
                      <a:t>Juneau</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264186907947638E-2"/>
                  <c:y val="-4.3664701263943298E-2"/>
                </c:manualLayout>
              </c:layout>
              <c:tx>
                <c:rich>
                  <a:bodyPr/>
                  <a:lstStyle/>
                  <a:p>
                    <a:r>
                      <a:rPr lang="en-US"/>
                      <a:t>Hartford</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888144853191544E-2"/>
                  <c:y val="8.0620161429949461E-2"/>
                </c:manualLayout>
              </c:layout>
              <c:tx>
                <c:rich>
                  <a:bodyPr/>
                  <a:lstStyle/>
                  <a:p>
                    <a:r>
                      <a:rPr lang="en-US"/>
                      <a:t>Norwich</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5529309530196464E-3"/>
                  <c:y val="3.4543807382051983E-2"/>
                </c:manualLayout>
              </c:layout>
              <c:tx>
                <c:rich>
                  <a:bodyPr/>
                  <a:lstStyle/>
                  <a:p>
                    <a:r>
                      <a:rPr lang="en-US"/>
                      <a:t>Danbury</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3167196044496531E-2"/>
                  <c:y val="-3.4386674342260011E-2"/>
                </c:manualLayout>
              </c:layout>
              <c:tx>
                <c:rich>
                  <a:bodyPr/>
                  <a:lstStyle/>
                  <a:p>
                    <a:r>
                      <a:rPr lang="en-US"/>
                      <a:t>Salmon</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5.3143494212655053E-2"/>
                  <c:y val="-2.5069024567556782E-2"/>
                </c:manualLayout>
              </c:layout>
              <c:tx>
                <c:rich>
                  <a:bodyPr/>
                  <a:lstStyle/>
                  <a:p>
                    <a:r>
                      <a:rPr lang="en-US"/>
                      <a:t>Boise</a:t>
                    </a:r>
                  </a:p>
                </c:rich>
              </c:tx>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6496612299390024E-2"/>
                  <c:y val="-2.5108550316763775E-2"/>
                </c:manualLayout>
              </c:layout>
              <c:tx>
                <c:rich>
                  <a:bodyPr/>
                  <a:lstStyle/>
                  <a:p>
                    <a:r>
                      <a:rPr lang="en-US"/>
                      <a:t>Pocatello</a:t>
                    </a:r>
                  </a:p>
                </c:rich>
              </c:tx>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2198121175726043E-2"/>
                  <c:y val="2.1557295119612678E-2"/>
                </c:manualLayout>
              </c:layout>
              <c:tx>
                <c:rich>
                  <a:bodyPr/>
                  <a:lstStyle/>
                  <a:p>
                    <a:r>
                      <a:rPr lang="en-US"/>
                      <a:t>Butte</a:t>
                    </a:r>
                  </a:p>
                </c:rich>
              </c:tx>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0094501640188889E-2"/>
                  <c:y val="-9.6411061972009951E-2"/>
                </c:manualLayout>
              </c:layout>
              <c:tx>
                <c:rich>
                  <a:bodyPr/>
                  <a:lstStyle/>
                  <a:p>
                    <a:r>
                      <a:rPr lang="en-US"/>
                      <a:t>Glendive</a:t>
                    </a:r>
                  </a:p>
                </c:rich>
              </c:tx>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6.4508411824423045E-2"/>
                  <c:y val="3.9563335042074252E-2"/>
                </c:manualLayout>
              </c:layout>
              <c:tx>
                <c:rich>
                  <a:bodyPr/>
                  <a:lstStyle/>
                  <a:p>
                    <a:r>
                      <a:rPr lang="en-US"/>
                      <a:t>Billings</a:t>
                    </a:r>
                  </a:p>
                </c:rich>
              </c:tx>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6.1512012952275805E-2"/>
                  <c:y val="2.1164462520132672E-2"/>
                </c:manualLayout>
              </c:layout>
              <c:tx>
                <c:rich>
                  <a:bodyPr/>
                  <a:lstStyle/>
                  <a:p>
                    <a:r>
                      <a:rPr lang="en-US"/>
                      <a:t>Charleston</a:t>
                    </a:r>
                  </a:p>
                </c:rich>
              </c:tx>
              <c:showLegendKey val="0"/>
              <c:showVal val="1"/>
              <c:showCatName val="0"/>
              <c:showSerName val="0"/>
              <c:showPercent val="0"/>
              <c:showBubbleSize val="0"/>
              <c:extLst>
                <c:ext xmlns:c15="http://schemas.microsoft.com/office/drawing/2012/chart" uri="{CE6537A1-D6FC-4f65-9D91-7224C49458BB}">
                  <c15:layout/>
                </c:ext>
              </c:extLst>
            </c:dLbl>
            <c:dLbl>
              <c:idx val="13"/>
              <c:layout/>
              <c:tx>
                <c:rich>
                  <a:bodyPr/>
                  <a:lstStyle/>
                  <a:p>
                    <a:r>
                      <a:rPr lang="en-US"/>
                      <a:t>Greenville</a:t>
                    </a:r>
                  </a:p>
                </c:rich>
              </c:tx>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4.7871940996172535E-2"/>
                  <c:y val="2.1518011859664676E-2"/>
                </c:manualLayout>
              </c:layout>
              <c:tx>
                <c:rich>
                  <a:bodyPr/>
                  <a:lstStyle/>
                  <a:p>
                    <a:r>
                      <a:rPr lang="en-US"/>
                      <a:t>Columbia</a:t>
                    </a:r>
                  </a:p>
                </c:rich>
              </c:tx>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8.0897032333113905E-2"/>
                  <c:y val="2.4951257865110453E-2"/>
                </c:manualLayout>
              </c:layout>
              <c:tx>
                <c:rich>
                  <a:bodyPr/>
                  <a:lstStyle/>
                  <a:p>
                    <a:r>
                      <a:rPr lang="en-US"/>
                      <a:t>Salt Lake City</a:t>
                    </a:r>
                  </a:p>
                </c:rich>
              </c:tx>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5.3450953489252995E-2"/>
                  <c:y val="2.1557295119612678E-2"/>
                </c:manualLayout>
              </c:layout>
              <c:tx>
                <c:rich>
                  <a:bodyPr/>
                  <a:lstStyle/>
                  <a:p>
                    <a:r>
                      <a:rPr lang="en-US"/>
                      <a:t>Moab</a:t>
                    </a:r>
                  </a:p>
                </c:rich>
              </c:tx>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1012754908217425"/>
                  <c:y val="2.7716522296644869E-2"/>
                </c:manualLayout>
              </c:layout>
              <c:tx>
                <c:rich>
                  <a:bodyPr/>
                  <a:lstStyle/>
                  <a:p>
                    <a:r>
                      <a:rPr lang="en-US"/>
                      <a:t>Cedar City</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2700" cap="rnd">
                <a:solidFill>
                  <a:schemeClr val="tx1"/>
                </a:solidFill>
                <a:prstDash val="dash"/>
              </a:ln>
              <a:effectLst/>
            </c:spPr>
            <c:trendlineType val="power"/>
            <c:dispRSqr val="0"/>
            <c:dispEq val="0"/>
          </c:trendline>
          <c:xVal>
            <c:numRef>
              <c:f>Comparison!$D$2:$D$19</c:f>
              <c:numCache>
                <c:formatCode>General</c:formatCode>
                <c:ptCount val="18"/>
                <c:pt idx="0">
                  <c:v>0.61770000000000003</c:v>
                </c:pt>
                <c:pt idx="1">
                  <c:v>0.41399999999999998</c:v>
                </c:pt>
                <c:pt idx="2">
                  <c:v>0.23710000000000001</c:v>
                </c:pt>
                <c:pt idx="3">
                  <c:v>9.2700000000000005E-2</c:v>
                </c:pt>
                <c:pt idx="4">
                  <c:v>8.6099999999999996E-2</c:v>
                </c:pt>
                <c:pt idx="5">
                  <c:v>0.1205</c:v>
                </c:pt>
                <c:pt idx="6">
                  <c:v>0.37519999999999998</c:v>
                </c:pt>
                <c:pt idx="7">
                  <c:v>0.13619999999999999</c:v>
                </c:pt>
                <c:pt idx="8">
                  <c:v>0.1988</c:v>
                </c:pt>
                <c:pt idx="9">
                  <c:v>0.17849999999999999</c:v>
                </c:pt>
                <c:pt idx="10">
                  <c:v>2.81E-2</c:v>
                </c:pt>
                <c:pt idx="11">
                  <c:v>4.9700000000000001E-2</c:v>
                </c:pt>
                <c:pt idx="12">
                  <c:v>0.73270000000000002</c:v>
                </c:pt>
                <c:pt idx="13">
                  <c:v>0.14199999999999999</c:v>
                </c:pt>
                <c:pt idx="14">
                  <c:v>0.22470000000000001</c:v>
                </c:pt>
                <c:pt idx="15">
                  <c:v>0.66510000000000002</c:v>
                </c:pt>
                <c:pt idx="16">
                  <c:v>8.6999999999999994E-2</c:v>
                </c:pt>
                <c:pt idx="17">
                  <c:v>0.28489999999999999</c:v>
                </c:pt>
              </c:numCache>
            </c:numRef>
          </c:xVal>
          <c:yVal>
            <c:numRef>
              <c:f>Comparison!$C$2:$C$19</c:f>
              <c:numCache>
                <c:formatCode>General</c:formatCode>
                <c:ptCount val="18"/>
                <c:pt idx="0">
                  <c:v>35</c:v>
                </c:pt>
                <c:pt idx="1">
                  <c:v>15</c:v>
                </c:pt>
                <c:pt idx="2">
                  <c:v>15</c:v>
                </c:pt>
                <c:pt idx="3">
                  <c:v>50</c:v>
                </c:pt>
                <c:pt idx="4">
                  <c:v>50</c:v>
                </c:pt>
                <c:pt idx="5">
                  <c:v>50</c:v>
                </c:pt>
                <c:pt idx="6">
                  <c:v>15</c:v>
                </c:pt>
                <c:pt idx="7">
                  <c:v>20</c:v>
                </c:pt>
                <c:pt idx="8">
                  <c:v>30</c:v>
                </c:pt>
                <c:pt idx="9">
                  <c:v>20</c:v>
                </c:pt>
                <c:pt idx="10">
                  <c:v>50</c:v>
                </c:pt>
                <c:pt idx="11">
                  <c:v>30</c:v>
                </c:pt>
                <c:pt idx="12">
                  <c:v>10</c:v>
                </c:pt>
                <c:pt idx="13">
                  <c:v>50</c:v>
                </c:pt>
                <c:pt idx="14">
                  <c:v>25</c:v>
                </c:pt>
                <c:pt idx="15">
                  <c:v>4</c:v>
                </c:pt>
                <c:pt idx="16">
                  <c:v>10</c:v>
                </c:pt>
                <c:pt idx="17">
                  <c:v>10</c:v>
                </c:pt>
              </c:numCache>
            </c:numRef>
          </c:yVal>
          <c:smooth val="0"/>
        </c:ser>
        <c:ser>
          <c:idx val="3"/>
          <c:order val="1"/>
          <c:spPr>
            <a:ln w="12700" cap="rnd">
              <a:solidFill>
                <a:schemeClr val="tx1"/>
              </a:solidFill>
              <a:prstDash val="solid"/>
              <a:round/>
            </a:ln>
            <a:effectLst/>
          </c:spPr>
          <c:marker>
            <c:symbol val="circle"/>
            <c:size val="5"/>
            <c:spPr>
              <a:noFill/>
              <a:ln w="9525">
                <a:noFill/>
              </a:ln>
              <a:effectLst/>
            </c:spPr>
          </c:marker>
          <c:xVal>
            <c:numRef>
              <c:f>Comparison!$S$42:$S$81</c:f>
              <c:numCache>
                <c:formatCode>General</c:formatCode>
                <c:ptCount val="40"/>
                <c:pt idx="0">
                  <c:v>9.9999999999999985E-3</c:v>
                </c:pt>
                <c:pt idx="1">
                  <c:v>0.02</c:v>
                </c:pt>
                <c:pt idx="2">
                  <c:v>3.9999999999999994E-2</c:v>
                </c:pt>
                <c:pt idx="3">
                  <c:v>0.06</c:v>
                </c:pt>
                <c:pt idx="4">
                  <c:v>0.08</c:v>
                </c:pt>
                <c:pt idx="5">
                  <c:v>9.9999999999999992E-2</c:v>
                </c:pt>
                <c:pt idx="6">
                  <c:v>0.12000000000000001</c:v>
                </c:pt>
                <c:pt idx="7">
                  <c:v>0.14000000000000001</c:v>
                </c:pt>
                <c:pt idx="8">
                  <c:v>0.16</c:v>
                </c:pt>
                <c:pt idx="9">
                  <c:v>0.18000000000000002</c:v>
                </c:pt>
                <c:pt idx="10">
                  <c:v>0.2</c:v>
                </c:pt>
                <c:pt idx="11">
                  <c:v>0.22</c:v>
                </c:pt>
                <c:pt idx="12">
                  <c:v>0.24000000000000002</c:v>
                </c:pt>
                <c:pt idx="13">
                  <c:v>0.26</c:v>
                </c:pt>
                <c:pt idx="14">
                  <c:v>0.27999999999999997</c:v>
                </c:pt>
                <c:pt idx="15">
                  <c:v>0.3</c:v>
                </c:pt>
                <c:pt idx="16">
                  <c:v>0.32</c:v>
                </c:pt>
                <c:pt idx="17">
                  <c:v>0.33999999999999997</c:v>
                </c:pt>
                <c:pt idx="18">
                  <c:v>0.36</c:v>
                </c:pt>
                <c:pt idx="19">
                  <c:v>0.38</c:v>
                </c:pt>
                <c:pt idx="20">
                  <c:v>0.39999999999999997</c:v>
                </c:pt>
                <c:pt idx="21">
                  <c:v>0.42</c:v>
                </c:pt>
                <c:pt idx="22">
                  <c:v>0.44</c:v>
                </c:pt>
                <c:pt idx="23">
                  <c:v>0.45999999999999996</c:v>
                </c:pt>
                <c:pt idx="24">
                  <c:v>0.48</c:v>
                </c:pt>
                <c:pt idx="25">
                  <c:v>0.5</c:v>
                </c:pt>
                <c:pt idx="26">
                  <c:v>0.52</c:v>
                </c:pt>
                <c:pt idx="27">
                  <c:v>0.54</c:v>
                </c:pt>
                <c:pt idx="28">
                  <c:v>0.55999999999999994</c:v>
                </c:pt>
                <c:pt idx="29">
                  <c:v>0.57999999999999996</c:v>
                </c:pt>
                <c:pt idx="30">
                  <c:v>0.6</c:v>
                </c:pt>
                <c:pt idx="31">
                  <c:v>0.62</c:v>
                </c:pt>
                <c:pt idx="32">
                  <c:v>0.64</c:v>
                </c:pt>
                <c:pt idx="33">
                  <c:v>0.66</c:v>
                </c:pt>
                <c:pt idx="34">
                  <c:v>0.67999999999999994</c:v>
                </c:pt>
                <c:pt idx="35">
                  <c:v>0.7</c:v>
                </c:pt>
                <c:pt idx="36">
                  <c:v>0.72</c:v>
                </c:pt>
                <c:pt idx="37">
                  <c:v>0.74</c:v>
                </c:pt>
              </c:numCache>
            </c:numRef>
          </c:xVal>
          <c:yVal>
            <c:numRef>
              <c:f>Comparison!$T$42:$T$81</c:f>
              <c:numCache>
                <c:formatCode>General</c:formatCode>
                <c:ptCount val="40"/>
                <c:pt idx="0">
                  <c:v>48.721982036608431</c:v>
                </c:pt>
                <c:pt idx="1">
                  <c:v>41.5915708071513</c:v>
                </c:pt>
                <c:pt idx="2">
                  <c:v>33.119059724764213</c:v>
                </c:pt>
                <c:pt idx="3">
                  <c:v>28.05959316724617</c:v>
                </c:pt>
                <c:pt idx="4">
                  <c:v>24.602408566980294</c:v>
                </c:pt>
                <c:pt idx="5">
                  <c:v>22.047823985905101</c:v>
                </c:pt>
                <c:pt idx="6">
                  <c:v>20.060727300126665</c:v>
                </c:pt>
                <c:pt idx="7">
                  <c:v>18.457820405060804</c:v>
                </c:pt>
                <c:pt idx="8">
                  <c:v>17.129273602112018</c:v>
                </c:pt>
                <c:pt idx="9">
                  <c:v>16.00473469859401</c:v>
                </c:pt>
                <c:pt idx="10">
                  <c:v>15.036775000456107</c:v>
                </c:pt>
                <c:pt idx="11">
                  <c:v>14.192099376397429</c:v>
                </c:pt>
                <c:pt idx="12">
                  <c:v>13.446553728152658</c:v>
                </c:pt>
                <c:pt idx="13">
                  <c:v>12.782131717489147</c:v>
                </c:pt>
                <c:pt idx="14">
                  <c:v>12.185098561983583</c:v>
                </c:pt>
                <c:pt idx="15">
                  <c:v>11.644770411187849</c:v>
                </c:pt>
                <c:pt idx="16">
                  <c:v>11.1526946940815</c:v>
                </c:pt>
                <c:pt idx="17">
                  <c:v>10.702084512252869</c:v>
                </c:pt>
                <c:pt idx="18">
                  <c:v>10.287418968513824</c:v>
                </c:pt>
                <c:pt idx="19">
                  <c:v>9.904154800783683</c:v>
                </c:pt>
                <c:pt idx="20">
                  <c:v>9.5485144464919376</c:v>
                </c:pt>
                <c:pt idx="21">
                  <c:v>9.2173276930395964</c:v>
                </c:pt>
                <c:pt idx="22">
                  <c:v>8.9079116031196932</c:v>
                </c:pt>
                <c:pt idx="23">
                  <c:v>8.6179782397821931</c:v>
                </c:pt>
                <c:pt idx="24">
                  <c:v>8.3455628908173534</c:v>
                </c:pt>
                <c:pt idx="25">
                  <c:v>8.0889676185133386</c:v>
                </c:pt>
                <c:pt idx="26">
                  <c:v>7.8467164115014381</c:v>
                </c:pt>
                <c:pt idx="27">
                  <c:v>7.6175192216602383</c:v>
                </c:pt>
                <c:pt idx="28">
                  <c:v>7.4002428777845726</c:v>
                </c:pt>
                <c:pt idx="29">
                  <c:v>7.1938873739582547</c:v>
                </c:pt>
                <c:pt idx="30">
                  <c:v>6.9975663968702921</c:v>
                </c:pt>
                <c:pt idx="31">
                  <c:v>6.8104912245548626</c:v>
                </c:pt>
                <c:pt idx="32">
                  <c:v>6.6319573276618655</c:v>
                </c:pt>
                <c:pt idx="33">
                  <c:v>6.4613331529725251</c:v>
                </c:pt>
                <c:pt idx="34">
                  <c:v>6.2980506811368766</c:v>
                </c:pt>
                <c:pt idx="35">
                  <c:v>6.1415974361851688</c:v>
                </c:pt>
                <c:pt idx="36">
                  <c:v>5.9915096901508953</c:v>
                </c:pt>
                <c:pt idx="37">
                  <c:v>5.8473666571193643</c:v>
                </c:pt>
              </c:numCache>
            </c:numRef>
          </c:yVal>
          <c:smooth val="0"/>
        </c:ser>
        <c:dLbls>
          <c:showLegendKey val="0"/>
          <c:showVal val="0"/>
          <c:showCatName val="0"/>
          <c:showSerName val="0"/>
          <c:showPercent val="0"/>
          <c:showBubbleSize val="0"/>
        </c:dLbls>
        <c:axId val="88013056"/>
        <c:axId val="87359872"/>
        <c:extLst>
          <c:ext xmlns:c15="http://schemas.microsoft.com/office/drawing/2012/chart" uri="{02D57815-91ED-43cb-92C2-25804820EDAC}">
            <c15:filteredScatterSeries>
              <c15:ser>
                <c:idx val="1"/>
                <c:order val="2"/>
                <c:spPr>
                  <a:ln w="12700" cap="rnd">
                    <a:solidFill>
                      <a:schemeClr val="tx1"/>
                    </a:solidFill>
                    <a:round/>
                  </a:ln>
                  <a:effectLst/>
                </c:spPr>
                <c:marker>
                  <c:symbol val="circle"/>
                  <c:size val="5"/>
                  <c:spPr>
                    <a:noFill/>
                    <a:ln w="9525">
                      <a:noFill/>
                    </a:ln>
                    <a:effectLst/>
                  </c:spPr>
                </c:marker>
                <c:xVal>
                  <c:numRef>
                    <c:extLst>
                      <c:ext uri="{02D57815-91ED-43cb-92C2-25804820EDAC}">
                        <c15:formulaRef>
                          <c15:sqref>Comparison!$U$42:$U$79</c15:sqref>
                        </c15:formulaRef>
                      </c:ext>
                    </c:extLst>
                    <c:numCache>
                      <c:formatCode>General</c:formatCode>
                      <c:ptCount val="38"/>
                      <c:pt idx="1">
                        <c:v>0.06</c:v>
                      </c:pt>
                      <c:pt idx="2">
                        <c:v>0.08</c:v>
                      </c:pt>
                      <c:pt idx="3">
                        <c:v>0.1</c:v>
                      </c:pt>
                      <c:pt idx="4">
                        <c:v>0.12000000000000001</c:v>
                      </c:pt>
                      <c:pt idx="5">
                        <c:v>0.13999999999999999</c:v>
                      </c:pt>
                      <c:pt idx="6">
                        <c:v>0.16</c:v>
                      </c:pt>
                      <c:pt idx="7">
                        <c:v>0.18</c:v>
                      </c:pt>
                      <c:pt idx="8">
                        <c:v>0.19999999999999998</c:v>
                      </c:pt>
                      <c:pt idx="9">
                        <c:v>0.22</c:v>
                      </c:pt>
                      <c:pt idx="10">
                        <c:v>0.24</c:v>
                      </c:pt>
                      <c:pt idx="11">
                        <c:v>0.26</c:v>
                      </c:pt>
                      <c:pt idx="12">
                        <c:v>0.28000000000000003</c:v>
                      </c:pt>
                      <c:pt idx="13">
                        <c:v>0.30000000000000004</c:v>
                      </c:pt>
                      <c:pt idx="14">
                        <c:v>0.32</c:v>
                      </c:pt>
                      <c:pt idx="15">
                        <c:v>0.34</c:v>
                      </c:pt>
                      <c:pt idx="16">
                        <c:v>0.36000000000000004</c:v>
                      </c:pt>
                      <c:pt idx="17">
                        <c:v>0.38</c:v>
                      </c:pt>
                      <c:pt idx="18">
                        <c:v>0.4</c:v>
                      </c:pt>
                      <c:pt idx="19">
                        <c:v>0.42000000000000004</c:v>
                      </c:pt>
                      <c:pt idx="20">
                        <c:v>0.44</c:v>
                      </c:pt>
                      <c:pt idx="21">
                        <c:v>0.46</c:v>
                      </c:pt>
                      <c:pt idx="22">
                        <c:v>0.48000000000000004</c:v>
                      </c:pt>
                      <c:pt idx="23">
                        <c:v>0.5</c:v>
                      </c:pt>
                      <c:pt idx="24">
                        <c:v>0.52</c:v>
                      </c:pt>
                      <c:pt idx="25">
                        <c:v>0.54</c:v>
                      </c:pt>
                      <c:pt idx="26">
                        <c:v>0.56000000000000005</c:v>
                      </c:pt>
                      <c:pt idx="27">
                        <c:v>0.58000000000000007</c:v>
                      </c:pt>
                      <c:pt idx="28">
                        <c:v>0.6</c:v>
                      </c:pt>
                      <c:pt idx="29">
                        <c:v>0.62</c:v>
                      </c:pt>
                      <c:pt idx="30">
                        <c:v>0.64</c:v>
                      </c:pt>
                      <c:pt idx="31">
                        <c:v>0.66</c:v>
                      </c:pt>
                      <c:pt idx="32">
                        <c:v>0.68</c:v>
                      </c:pt>
                      <c:pt idx="33">
                        <c:v>0.70000000000000007</c:v>
                      </c:pt>
                      <c:pt idx="34">
                        <c:v>0.72</c:v>
                      </c:pt>
                      <c:pt idx="35">
                        <c:v>0.74</c:v>
                      </c:pt>
                    </c:numCache>
                  </c:numRef>
                </c:xVal>
                <c:yVal>
                  <c:numRef>
                    <c:extLst>
                      <c:ext uri="{02D57815-91ED-43cb-92C2-25804820EDAC}">
                        <c15:formulaRef>
                          <c15:sqref>Comparison!$V$42:$V$79</c15:sqref>
                        </c15:formulaRef>
                      </c:ext>
                    </c:extLst>
                    <c:numCache>
                      <c:formatCode>General</c:formatCode>
                      <c:ptCount val="38"/>
                      <c:pt idx="1">
                        <c:v>51.5915708071513</c:v>
                      </c:pt>
                      <c:pt idx="2">
                        <c:v>43.119059724764213</c:v>
                      </c:pt>
                      <c:pt idx="3">
                        <c:v>38.05959316724617</c:v>
                      </c:pt>
                      <c:pt idx="4">
                        <c:v>34.602408566980294</c:v>
                      </c:pt>
                      <c:pt idx="5">
                        <c:v>32.047823985905097</c:v>
                      </c:pt>
                      <c:pt idx="6">
                        <c:v>30.060727300126665</c:v>
                      </c:pt>
                      <c:pt idx="7">
                        <c:v>28.457820405060804</c:v>
                      </c:pt>
                      <c:pt idx="8">
                        <c:v>27.129273602112018</c:v>
                      </c:pt>
                      <c:pt idx="9">
                        <c:v>26.00473469859401</c:v>
                      </c:pt>
                      <c:pt idx="10">
                        <c:v>25.036775000456107</c:v>
                      </c:pt>
                      <c:pt idx="11">
                        <c:v>24.192099376397429</c:v>
                      </c:pt>
                      <c:pt idx="12">
                        <c:v>23.446553728152658</c:v>
                      </c:pt>
                      <c:pt idx="13">
                        <c:v>22.782131717489147</c:v>
                      </c:pt>
                      <c:pt idx="14">
                        <c:v>22.185098561983583</c:v>
                      </c:pt>
                      <c:pt idx="15">
                        <c:v>21.644770411187849</c:v>
                      </c:pt>
                      <c:pt idx="16">
                        <c:v>21.1526946940815</c:v>
                      </c:pt>
                      <c:pt idx="17">
                        <c:v>20.702084512252867</c:v>
                      </c:pt>
                      <c:pt idx="18">
                        <c:v>20.287418968513826</c:v>
                      </c:pt>
                      <c:pt idx="19">
                        <c:v>19.904154800783683</c:v>
                      </c:pt>
                      <c:pt idx="20">
                        <c:v>19.548514446491936</c:v>
                      </c:pt>
                      <c:pt idx="21">
                        <c:v>19.217327693039596</c:v>
                      </c:pt>
                      <c:pt idx="22">
                        <c:v>18.907911603119693</c:v>
                      </c:pt>
                      <c:pt idx="23">
                        <c:v>18.617978239782193</c:v>
                      </c:pt>
                      <c:pt idx="24">
                        <c:v>18.345562890817355</c:v>
                      </c:pt>
                      <c:pt idx="25">
                        <c:v>18.088967618513337</c:v>
                      </c:pt>
                      <c:pt idx="26">
                        <c:v>17.84671641150144</c:v>
                      </c:pt>
                      <c:pt idx="27">
                        <c:v>17.617519221660238</c:v>
                      </c:pt>
                      <c:pt idx="28">
                        <c:v>17.400242877784571</c:v>
                      </c:pt>
                      <c:pt idx="29">
                        <c:v>17.193887373958255</c:v>
                      </c:pt>
                      <c:pt idx="30">
                        <c:v>16.99756639687029</c:v>
                      </c:pt>
                      <c:pt idx="31">
                        <c:v>16.810491224554863</c:v>
                      </c:pt>
                      <c:pt idx="32">
                        <c:v>16.631957327661866</c:v>
                      </c:pt>
                      <c:pt idx="33">
                        <c:v>16.461333152972525</c:v>
                      </c:pt>
                      <c:pt idx="34">
                        <c:v>16.298050681136878</c:v>
                      </c:pt>
                      <c:pt idx="35">
                        <c:v>16.141597436185169</c:v>
                      </c:pt>
                    </c:numCache>
                  </c:numRef>
                </c:yVal>
                <c:smooth val="0"/>
              </c15:ser>
            </c15:filteredScatterSeries>
          </c:ext>
        </c:extLst>
      </c:scatterChart>
      <c:valAx>
        <c:axId val="88013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PGA</a:t>
                </a:r>
              </a:p>
            </c:rich>
          </c:tx>
          <c:layout>
            <c:manualLayout>
              <c:xMode val="edge"/>
              <c:yMode val="edge"/>
              <c:x val="0.50730214882617441"/>
              <c:y val="0.946339078262223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7359872"/>
        <c:crosses val="autoZero"/>
        <c:crossBetween val="midCat"/>
      </c:valAx>
      <c:valAx>
        <c:axId val="87359872"/>
        <c:scaling>
          <c:orientation val="minMax"/>
          <c:max val="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Grid</a:t>
                </a:r>
                <a:r>
                  <a:rPr lang="en-US" sz="1200" baseline="0">
                    <a:solidFill>
                      <a:schemeClr val="tx1"/>
                    </a:solidFill>
                    <a:latin typeface="Times New Roman" panose="02020603050405020304" pitchFamily="18" charset="0"/>
                    <a:cs typeface="Times New Roman" panose="02020603050405020304" pitchFamily="18" charset="0"/>
                  </a:rPr>
                  <a:t> Spacing (km)</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119272102980084E-2"/>
              <c:y val="0.409484032054507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801305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0.10861</cdr:x>
      <cdr:y>0.13822</cdr:y>
    </cdr:from>
    <cdr:to>
      <cdr:x>0.89182</cdr:x>
      <cdr:y>0.62666</cdr:y>
    </cdr:to>
    <cdr:sp macro="" textlink="">
      <cdr:nvSpPr>
        <cdr:cNvPr id="15" name="Freeform 14"/>
        <cdr:cNvSpPr/>
      </cdr:nvSpPr>
      <cdr:spPr>
        <a:xfrm xmlns:a="http://schemas.openxmlformats.org/drawingml/2006/main">
          <a:off x="639218" y="651246"/>
          <a:ext cx="4609544" cy="2301295"/>
        </a:xfrm>
        <a:custGeom xmlns:a="http://schemas.openxmlformats.org/drawingml/2006/main">
          <a:avLst/>
          <a:gdLst>
            <a:gd name="connsiteX0" fmla="*/ 0 w 4591050"/>
            <a:gd name="connsiteY0" fmla="*/ 0 h 1990725"/>
            <a:gd name="connsiteX1" fmla="*/ 1743075 w 4591050"/>
            <a:gd name="connsiteY1" fmla="*/ 1562100 h 1990725"/>
            <a:gd name="connsiteX2" fmla="*/ 4591050 w 4591050"/>
            <a:gd name="connsiteY2" fmla="*/ 1990725 h 1990725"/>
          </a:gdLst>
          <a:ahLst/>
          <a:cxnLst>
            <a:cxn ang="0">
              <a:pos x="connsiteX0" y="connsiteY0"/>
            </a:cxn>
            <a:cxn ang="0">
              <a:pos x="connsiteX1" y="connsiteY1"/>
            </a:cxn>
            <a:cxn ang="0">
              <a:pos x="connsiteX2" y="connsiteY2"/>
            </a:cxn>
          </a:cxnLst>
          <a:rect l="l" t="t" r="r" b="b"/>
          <a:pathLst>
            <a:path w="4591050" h="1990725">
              <a:moveTo>
                <a:pt x="0" y="0"/>
              </a:moveTo>
              <a:cubicBezTo>
                <a:pt x="488950" y="615156"/>
                <a:pt x="977900" y="1230313"/>
                <a:pt x="1743075" y="1562100"/>
              </a:cubicBezTo>
              <a:cubicBezTo>
                <a:pt x="2508250" y="1893887"/>
                <a:pt x="3549650" y="1942306"/>
                <a:pt x="4591050" y="1990725"/>
              </a:cubicBezTo>
            </a:path>
          </a:pathLst>
        </a:custGeom>
        <a:ln xmlns:a="http://schemas.openxmlformats.org/drawingml/2006/main" w="12700">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0.51249</cdr:x>
      <cdr:y>0.64582</cdr:y>
    </cdr:from>
    <cdr:to>
      <cdr:x>0.82093</cdr:x>
      <cdr:y>0.74324</cdr:y>
    </cdr:to>
    <cdr:sp macro="" textlink="">
      <cdr:nvSpPr>
        <cdr:cNvPr id="16" name="TextBox 15"/>
        <cdr:cNvSpPr txBox="1"/>
      </cdr:nvSpPr>
      <cdr:spPr>
        <a:xfrm xmlns:a="http://schemas.openxmlformats.org/drawingml/2006/main">
          <a:off x="3016252" y="3042816"/>
          <a:ext cx="1815317" cy="458977"/>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anose="02020603050405020304" pitchFamily="18" charset="0"/>
              <a:cs typeface="Times New Roman" panose="02020603050405020304" pitchFamily="18" charset="0"/>
            </a:rPr>
            <a:t>Hand-drawn lower bound to use for correlation</a:t>
          </a:r>
        </a:p>
      </cdr:txBody>
    </cdr:sp>
  </cdr:relSizeAnchor>
  <cdr:relSizeAnchor xmlns:cdr="http://schemas.openxmlformats.org/drawingml/2006/chartDrawing">
    <cdr:from>
      <cdr:x>0.48427</cdr:x>
      <cdr:y>0.58092</cdr:y>
    </cdr:from>
    <cdr:to>
      <cdr:x>0.51249</cdr:x>
      <cdr:y>0.64877</cdr:y>
    </cdr:to>
    <cdr:sp macro="" textlink="">
      <cdr:nvSpPr>
        <cdr:cNvPr id="20" name="Straight Arrow Connector 19"/>
        <cdr:cNvSpPr/>
      </cdr:nvSpPr>
      <cdr:spPr>
        <a:xfrm xmlns:a="http://schemas.openxmlformats.org/drawingml/2006/main" flipH="1" flipV="1">
          <a:off x="2850131" y="2737012"/>
          <a:ext cx="166120" cy="319710"/>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0.62012</cdr:x>
      <cdr:y>0.32534</cdr:y>
    </cdr:from>
    <cdr:to>
      <cdr:x>0.70041</cdr:x>
      <cdr:y>0.44663</cdr:y>
    </cdr:to>
    <cdr:sp macro="" textlink="">
      <cdr:nvSpPr>
        <cdr:cNvPr id="5" name="Straight Arrow Connector 4"/>
        <cdr:cNvSpPr/>
      </cdr:nvSpPr>
      <cdr:spPr>
        <a:xfrm xmlns:a="http://schemas.openxmlformats.org/drawingml/2006/main" flipH="1">
          <a:off x="3649674" y="1532863"/>
          <a:ext cx="472544" cy="571467"/>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1778</Words>
  <Characters>10737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17</cp:revision>
  <cp:lastPrinted>2011-06-21T20:32:00Z</cp:lastPrinted>
  <dcterms:created xsi:type="dcterms:W3CDTF">2014-10-20T15:44:00Z</dcterms:created>
  <dcterms:modified xsi:type="dcterms:W3CDTF">2014-10-27T13:54:00Z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