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551DB5">
        <w:rPr>
          <w:rFonts w:ascii="Arial" w:hAnsi="Arial" w:cs="Arial"/>
          <w:sz w:val="24"/>
          <w:szCs w:val="24"/>
        </w:rPr>
        <w:t>July 1</w:t>
      </w:r>
      <w:r w:rsidR="00807966">
        <w:rPr>
          <w:rFonts w:ascii="Arial" w:hAnsi="Arial" w:cs="Arial"/>
          <w:sz w:val="24"/>
          <w:szCs w:val="24"/>
        </w:rPr>
        <w:t>, 2014</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884A39">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551DB5">
              <w:rPr>
                <w:rFonts w:ascii="Arial" w:hAnsi="Arial" w:cs="Arial"/>
                <w:sz w:val="20"/>
                <w:szCs w:val="20"/>
                <w:highlight w:val="yellow"/>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807966">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551DB5">
              <w:rPr>
                <w:rFonts w:ascii="Arial" w:hAnsi="Arial" w:cs="Arial"/>
                <w:sz w:val="20"/>
                <w:szCs w:val="20"/>
              </w:rPr>
              <w:t>Quarter 4 (October 1</w:t>
            </w:r>
            <w:r w:rsidR="00551D8A" w:rsidRPr="00551DB5">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F45C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BA46C0" w:rsidP="00FA2CBB">
            <w:pPr>
              <w:ind w:right="-720"/>
              <w:rPr>
                <w:rFonts w:ascii="Arial" w:hAnsi="Arial" w:cs="Arial"/>
                <w:b/>
                <w:sz w:val="20"/>
                <w:szCs w:val="20"/>
              </w:rPr>
            </w:pPr>
            <w:r>
              <w:rPr>
                <w:rFonts w:ascii="Arial" w:hAnsi="Arial" w:cs="Arial"/>
                <w:b/>
                <w:sz w:val="20"/>
                <w:szCs w:val="20"/>
              </w:rPr>
              <w:t>2016</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BA46C0">
            <w:pPr>
              <w:ind w:right="-720"/>
              <w:rPr>
                <w:rFonts w:ascii="Arial" w:hAnsi="Arial" w:cs="Arial"/>
                <w:sz w:val="20"/>
                <w:szCs w:val="20"/>
              </w:rPr>
            </w:pPr>
            <w:r>
              <w:rPr>
                <w:rFonts w:ascii="Arial" w:hAnsi="Arial" w:cs="Arial"/>
                <w:sz w:val="20"/>
                <w:szCs w:val="20"/>
              </w:rPr>
              <w:t>$</w:t>
            </w:r>
            <w:r w:rsidR="00BA46C0">
              <w:rPr>
                <w:rFonts w:ascii="Arial" w:hAnsi="Arial" w:cs="Arial"/>
                <w:sz w:val="20"/>
                <w:szCs w:val="20"/>
              </w:rPr>
              <w:t>34</w:t>
            </w:r>
            <w:r w:rsidR="00F87F5B">
              <w:rPr>
                <w:rFonts w:ascii="Arial" w:hAnsi="Arial" w:cs="Arial"/>
                <w:sz w:val="20"/>
                <w:szCs w:val="20"/>
              </w:rPr>
              <w:t>0</w:t>
            </w:r>
            <w:r w:rsidR="00F45CE8">
              <w:rPr>
                <w:rFonts w:ascii="Arial" w:hAnsi="Arial" w:cs="Arial"/>
                <w:sz w:val="20"/>
                <w:szCs w:val="20"/>
              </w:rPr>
              <w:t>,000</w:t>
            </w:r>
          </w:p>
        </w:tc>
        <w:tc>
          <w:tcPr>
            <w:tcW w:w="3330" w:type="dxa"/>
          </w:tcPr>
          <w:p w:rsidR="00F30254" w:rsidRPr="00B66A21" w:rsidRDefault="00551DB5" w:rsidP="008F6596">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551DB5" w:rsidP="008F6596">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This pooled fund effort is established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E71359" w:rsidRDefault="00807966" w:rsidP="00F30254">
            <w:pPr>
              <w:ind w:right="252"/>
              <w:rPr>
                <w:rFonts w:ascii="Arial" w:hAnsi="Arial" w:cs="Arial"/>
                <w:sz w:val="20"/>
                <w:szCs w:val="20"/>
              </w:rPr>
            </w:pPr>
            <w:r>
              <w:rPr>
                <w:rFonts w:ascii="Arial" w:hAnsi="Arial" w:cs="Arial"/>
                <w:sz w:val="20"/>
                <w:szCs w:val="20"/>
              </w:rPr>
              <w:t xml:space="preserve">We held a conference call with the project members. Notes </w:t>
            </w:r>
            <w:r w:rsidR="00551DB5">
              <w:rPr>
                <w:rFonts w:ascii="Arial" w:hAnsi="Arial" w:cs="Arial"/>
                <w:sz w:val="20"/>
                <w:szCs w:val="20"/>
              </w:rPr>
              <w:t>have been</w:t>
            </w:r>
            <w:r>
              <w:rPr>
                <w:rFonts w:ascii="Arial" w:hAnsi="Arial" w:cs="Arial"/>
                <w:sz w:val="20"/>
                <w:szCs w:val="20"/>
              </w:rPr>
              <w:t xml:space="preserve"> distributed and </w:t>
            </w:r>
            <w:r w:rsidR="00551DB5">
              <w:rPr>
                <w:rFonts w:ascii="Arial" w:hAnsi="Arial" w:cs="Arial"/>
                <w:sz w:val="20"/>
                <w:szCs w:val="20"/>
              </w:rPr>
              <w:t>a decision was made to begin on phase 1 of this work.</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551DB5" w:rsidP="00F30254">
            <w:pPr>
              <w:ind w:right="180"/>
              <w:rPr>
                <w:rFonts w:ascii="Arial" w:hAnsi="Arial" w:cs="Arial"/>
                <w:sz w:val="20"/>
                <w:szCs w:val="20"/>
              </w:rPr>
            </w:pPr>
            <w:r>
              <w:rPr>
                <w:rFonts w:ascii="Arial" w:hAnsi="Arial" w:cs="Arial"/>
                <w:sz w:val="20"/>
                <w:szCs w:val="20"/>
              </w:rPr>
              <w:t>Get contract out to RFQ.</w:t>
            </w:r>
            <w:bookmarkStart w:id="0" w:name="_GoBack"/>
            <w:bookmarkEnd w:id="0"/>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DCA" w:rsidRDefault="00904DCA" w:rsidP="00106C83">
      <w:pPr>
        <w:spacing w:after="0" w:line="240" w:lineRule="auto"/>
      </w:pPr>
      <w:r>
        <w:separator/>
      </w:r>
    </w:p>
  </w:endnote>
  <w:endnote w:type="continuationSeparator" w:id="0">
    <w:p w:rsidR="00904DCA" w:rsidRDefault="00904DC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DCA" w:rsidRDefault="00904DCA" w:rsidP="00106C83">
      <w:pPr>
        <w:spacing w:after="0" w:line="240" w:lineRule="auto"/>
      </w:pPr>
      <w:r>
        <w:separator/>
      </w:r>
    </w:p>
  </w:footnote>
  <w:footnote w:type="continuationSeparator" w:id="0">
    <w:p w:rsidR="00904DCA" w:rsidRDefault="00904DCA"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676A1"/>
    <w:rsid w:val="001871EA"/>
    <w:rsid w:val="001D34DB"/>
    <w:rsid w:val="001F7330"/>
    <w:rsid w:val="0021110F"/>
    <w:rsid w:val="0021446D"/>
    <w:rsid w:val="00225DB0"/>
    <w:rsid w:val="00243243"/>
    <w:rsid w:val="00293FD8"/>
    <w:rsid w:val="002A79C8"/>
    <w:rsid w:val="002D024B"/>
    <w:rsid w:val="00316FB8"/>
    <w:rsid w:val="00354255"/>
    <w:rsid w:val="00377D6E"/>
    <w:rsid w:val="0038705A"/>
    <w:rsid w:val="003C2AE6"/>
    <w:rsid w:val="004144E6"/>
    <w:rsid w:val="004156B2"/>
    <w:rsid w:val="00437734"/>
    <w:rsid w:val="00454CF6"/>
    <w:rsid w:val="004D4E31"/>
    <w:rsid w:val="004E14DC"/>
    <w:rsid w:val="00535598"/>
    <w:rsid w:val="00547EE3"/>
    <w:rsid w:val="00551D8A"/>
    <w:rsid w:val="00551DB5"/>
    <w:rsid w:val="00581B36"/>
    <w:rsid w:val="00583E8E"/>
    <w:rsid w:val="005A4703"/>
    <w:rsid w:val="005D6B0B"/>
    <w:rsid w:val="005E2D99"/>
    <w:rsid w:val="00601EBD"/>
    <w:rsid w:val="006423F7"/>
    <w:rsid w:val="006651C1"/>
    <w:rsid w:val="00676751"/>
    <w:rsid w:val="00682C5E"/>
    <w:rsid w:val="00743C01"/>
    <w:rsid w:val="00745FA9"/>
    <w:rsid w:val="00790C4A"/>
    <w:rsid w:val="007D394F"/>
    <w:rsid w:val="007E5BD2"/>
    <w:rsid w:val="00807966"/>
    <w:rsid w:val="008341F4"/>
    <w:rsid w:val="00853C7E"/>
    <w:rsid w:val="00872F18"/>
    <w:rsid w:val="00874EF7"/>
    <w:rsid w:val="00884A39"/>
    <w:rsid w:val="008F6596"/>
    <w:rsid w:val="00904DCA"/>
    <w:rsid w:val="00905DAC"/>
    <w:rsid w:val="009D3E7C"/>
    <w:rsid w:val="00A43875"/>
    <w:rsid w:val="00A63677"/>
    <w:rsid w:val="00A6549C"/>
    <w:rsid w:val="00AE46B0"/>
    <w:rsid w:val="00B2185C"/>
    <w:rsid w:val="00B358DC"/>
    <w:rsid w:val="00B66A21"/>
    <w:rsid w:val="00BA0DA8"/>
    <w:rsid w:val="00BA46C0"/>
    <w:rsid w:val="00BE2C0A"/>
    <w:rsid w:val="00C12A61"/>
    <w:rsid w:val="00C13753"/>
    <w:rsid w:val="00C43C2C"/>
    <w:rsid w:val="00D262FF"/>
    <w:rsid w:val="00D42A15"/>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DF888-04F6-40F2-8840-323A324D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2014-09-17T21:25:00Z</dcterms:created>
  <dcterms:modified xsi:type="dcterms:W3CDTF">2014-09-17T21:25:00Z</dcterms:modified>
</cp:coreProperties>
</file>