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2465D">
        <w:rPr>
          <w:rFonts w:ascii="Arial" w:hAnsi="Arial" w:cs="Arial"/>
          <w:sz w:val="24"/>
          <w:szCs w:val="24"/>
        </w:rPr>
        <w:t>July 1</w:t>
      </w:r>
      <w:r w:rsidR="00043DAE">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B5496C">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9C73C6">
              <w:rPr>
                <w:rFonts w:ascii="Arial" w:hAnsi="Arial" w:cs="Arial"/>
                <w:sz w:val="20"/>
                <w:szCs w:val="20"/>
                <w:highlight w:val="yellow"/>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043DAE">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9C73C6">
              <w:rPr>
                <w:rFonts w:ascii="Arial" w:hAnsi="Arial" w:cs="Arial"/>
                <w:sz w:val="20"/>
                <w:szCs w:val="20"/>
              </w:rPr>
              <w:t>Quarter 4 (October 1</w:t>
            </w:r>
            <w:r w:rsidR="00551D8A" w:rsidRPr="009C73C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82465D" w:rsidP="00B5496C">
            <w:pPr>
              <w:ind w:right="-720"/>
              <w:rPr>
                <w:rFonts w:ascii="Arial" w:hAnsi="Arial" w:cs="Arial"/>
                <w:b/>
                <w:sz w:val="20"/>
                <w:szCs w:val="20"/>
              </w:rPr>
            </w:pPr>
            <w:r>
              <w:rPr>
                <w:rFonts w:ascii="Arial" w:hAnsi="Arial" w:cs="Arial"/>
                <w:b/>
                <w:sz w:val="20"/>
                <w:szCs w:val="20"/>
              </w:rPr>
              <w:t>7/31/2015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D6DC6">
            <w:pPr>
              <w:ind w:right="-720"/>
              <w:rPr>
                <w:rFonts w:ascii="Arial" w:hAnsi="Arial" w:cs="Arial"/>
                <w:sz w:val="20"/>
                <w:szCs w:val="20"/>
              </w:rPr>
            </w:pPr>
            <w:r>
              <w:rPr>
                <w:rFonts w:ascii="Arial" w:hAnsi="Arial" w:cs="Arial"/>
                <w:sz w:val="20"/>
                <w:szCs w:val="20"/>
              </w:rPr>
              <w:t>$</w:t>
            </w:r>
            <w:r w:rsidR="00CD6DC6">
              <w:rPr>
                <w:rFonts w:ascii="Arial" w:hAnsi="Arial" w:cs="Arial"/>
                <w:sz w:val="20"/>
                <w:szCs w:val="20"/>
              </w:rPr>
              <w:t>844,371.43</w:t>
            </w:r>
          </w:p>
        </w:tc>
        <w:tc>
          <w:tcPr>
            <w:tcW w:w="3330" w:type="dxa"/>
          </w:tcPr>
          <w:p w:rsidR="00F30254" w:rsidRPr="00B66A21" w:rsidRDefault="00F30254" w:rsidP="009C73C6">
            <w:pPr>
              <w:ind w:right="-720"/>
              <w:rPr>
                <w:rFonts w:ascii="Arial" w:hAnsi="Arial" w:cs="Arial"/>
                <w:sz w:val="20"/>
                <w:szCs w:val="20"/>
              </w:rPr>
            </w:pPr>
            <w:r>
              <w:rPr>
                <w:rFonts w:ascii="Arial" w:hAnsi="Arial" w:cs="Arial"/>
                <w:sz w:val="20"/>
                <w:szCs w:val="20"/>
              </w:rPr>
              <w:t>$</w:t>
            </w:r>
            <w:r w:rsidR="0082465D">
              <w:rPr>
                <w:rFonts w:ascii="Arial" w:hAnsi="Arial" w:cs="Arial"/>
                <w:sz w:val="20"/>
                <w:szCs w:val="20"/>
              </w:rPr>
              <w:t>753</w:t>
            </w:r>
            <w:r w:rsidR="00FF6FBB">
              <w:rPr>
                <w:rFonts w:ascii="Arial" w:hAnsi="Arial" w:cs="Arial"/>
                <w:sz w:val="20"/>
                <w:szCs w:val="20"/>
              </w:rPr>
              <w:t>,</w:t>
            </w:r>
            <w:r w:rsidR="009C73C6">
              <w:rPr>
                <w:rFonts w:ascii="Arial" w:hAnsi="Arial" w:cs="Arial"/>
                <w:sz w:val="20"/>
                <w:szCs w:val="20"/>
              </w:rPr>
              <w:t>833</w:t>
            </w:r>
          </w:p>
        </w:tc>
        <w:tc>
          <w:tcPr>
            <w:tcW w:w="3420" w:type="dxa"/>
          </w:tcPr>
          <w:p w:rsidR="00874EF7" w:rsidRPr="00B66A21" w:rsidRDefault="009C73C6" w:rsidP="00551D8A">
            <w:pPr>
              <w:ind w:right="-720"/>
              <w:rPr>
                <w:rFonts w:ascii="Arial" w:hAnsi="Arial" w:cs="Arial"/>
                <w:sz w:val="20"/>
                <w:szCs w:val="20"/>
              </w:rPr>
            </w:pPr>
            <w:r>
              <w:rPr>
                <w:rFonts w:ascii="Arial" w:hAnsi="Arial" w:cs="Arial"/>
                <w:sz w:val="20"/>
                <w:szCs w:val="20"/>
              </w:rPr>
              <w:t>86</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A11DF3" w:rsidP="003D1C23">
            <w:pPr>
              <w:ind w:right="-720"/>
              <w:rPr>
                <w:rFonts w:ascii="Arial" w:hAnsi="Arial" w:cs="Arial"/>
                <w:sz w:val="20"/>
                <w:szCs w:val="20"/>
              </w:rPr>
            </w:pPr>
            <w:r>
              <w:rPr>
                <w:rFonts w:ascii="Arial" w:hAnsi="Arial" w:cs="Arial"/>
                <w:sz w:val="20"/>
                <w:szCs w:val="20"/>
              </w:rPr>
              <w:t>$</w:t>
            </w:r>
            <w:r w:rsidR="009C73C6">
              <w:rPr>
                <w:rFonts w:ascii="Arial" w:hAnsi="Arial" w:cs="Arial"/>
                <w:sz w:val="20"/>
                <w:szCs w:val="20"/>
              </w:rPr>
              <w:t>92803</w:t>
            </w:r>
          </w:p>
        </w:tc>
        <w:tc>
          <w:tcPr>
            <w:tcW w:w="3330" w:type="dxa"/>
          </w:tcPr>
          <w:p w:rsidR="00B66A21" w:rsidRPr="00B66A21" w:rsidRDefault="00A11DF3" w:rsidP="003D1C23">
            <w:pPr>
              <w:ind w:right="-720"/>
              <w:rPr>
                <w:rFonts w:ascii="Arial" w:hAnsi="Arial" w:cs="Arial"/>
                <w:sz w:val="20"/>
                <w:szCs w:val="20"/>
              </w:rPr>
            </w:pPr>
            <w:r>
              <w:rPr>
                <w:rFonts w:ascii="Arial" w:hAnsi="Arial" w:cs="Arial"/>
                <w:sz w:val="20"/>
                <w:szCs w:val="20"/>
              </w:rPr>
              <w:t>$</w:t>
            </w:r>
            <w:r w:rsidR="009C73C6">
              <w:rPr>
                <w:rFonts w:ascii="Arial" w:hAnsi="Arial" w:cs="Arial"/>
                <w:sz w:val="20"/>
                <w:szCs w:val="20"/>
              </w:rPr>
              <w:t>92803</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BF2756" w:rsidP="00D566AA">
            <w:pPr>
              <w:ind w:right="252"/>
              <w:rPr>
                <w:rFonts w:ascii="Arial" w:hAnsi="Arial" w:cs="Arial"/>
                <w:sz w:val="20"/>
                <w:szCs w:val="20"/>
              </w:rPr>
            </w:pPr>
            <w:r>
              <w:rPr>
                <w:rFonts w:ascii="Arial" w:hAnsi="Arial" w:cs="Arial"/>
                <w:sz w:val="20"/>
                <w:szCs w:val="20"/>
              </w:rPr>
              <w:t>The project for mobile field data collection has been scoped into two phases</w:t>
            </w:r>
            <w:r w:rsidR="00A11DF3">
              <w:rPr>
                <w:rFonts w:ascii="Arial" w:hAnsi="Arial" w:cs="Arial"/>
                <w:sz w:val="20"/>
                <w:szCs w:val="20"/>
              </w:rPr>
              <w:t>.</w:t>
            </w:r>
            <w:r>
              <w:rPr>
                <w:rFonts w:ascii="Arial" w:hAnsi="Arial" w:cs="Arial"/>
                <w:sz w:val="20"/>
                <w:szCs w:val="20"/>
              </w:rPr>
              <w:t xml:space="preserve"> </w:t>
            </w:r>
            <w:r w:rsidR="00A11DF3">
              <w:rPr>
                <w:rFonts w:ascii="Arial" w:hAnsi="Arial" w:cs="Arial"/>
                <w:sz w:val="20"/>
                <w:szCs w:val="20"/>
              </w:rPr>
              <w:t>P</w:t>
            </w:r>
            <w:r w:rsidR="00312375">
              <w:rPr>
                <w:rFonts w:ascii="Arial" w:hAnsi="Arial" w:cs="Arial"/>
                <w:sz w:val="20"/>
                <w:szCs w:val="20"/>
              </w:rPr>
              <w:t xml:space="preserve">hase 1 </w:t>
            </w:r>
            <w:r w:rsidR="00A11DF3">
              <w:rPr>
                <w:rFonts w:ascii="Arial" w:hAnsi="Arial" w:cs="Arial"/>
                <w:sz w:val="20"/>
                <w:szCs w:val="20"/>
              </w:rPr>
              <w:t>is complete</w:t>
            </w:r>
            <w:r>
              <w:rPr>
                <w:rFonts w:ascii="Arial" w:hAnsi="Arial" w:cs="Arial"/>
                <w:sz w:val="20"/>
                <w:szCs w:val="20"/>
              </w:rPr>
              <w:t xml:space="preserve">. </w:t>
            </w:r>
            <w:r w:rsidR="00226570">
              <w:rPr>
                <w:rFonts w:ascii="Arial" w:hAnsi="Arial" w:cs="Arial"/>
                <w:sz w:val="20"/>
                <w:szCs w:val="20"/>
              </w:rPr>
              <w:t xml:space="preserve">The PI conducted interviews within WSDOT and </w:t>
            </w:r>
            <w:proofErr w:type="spellStart"/>
            <w:r w:rsidR="00226570">
              <w:rPr>
                <w:rFonts w:ascii="Arial" w:hAnsi="Arial" w:cs="Arial"/>
                <w:sz w:val="20"/>
                <w:szCs w:val="20"/>
              </w:rPr>
              <w:t>TxDOT</w:t>
            </w:r>
            <w:proofErr w:type="spellEnd"/>
            <w:r w:rsidR="00226570">
              <w:rPr>
                <w:rFonts w:ascii="Arial" w:hAnsi="Arial" w:cs="Arial"/>
                <w:sz w:val="20"/>
                <w:szCs w:val="20"/>
              </w:rPr>
              <w:t xml:space="preserve"> </w:t>
            </w:r>
            <w:r w:rsidR="00A11DF3">
              <w:rPr>
                <w:rFonts w:ascii="Arial" w:hAnsi="Arial" w:cs="Arial"/>
                <w:sz w:val="20"/>
                <w:szCs w:val="20"/>
              </w:rPr>
              <w:t xml:space="preserve">and were able to collect a lot of good information to progress onto phase 2. </w:t>
            </w:r>
          </w:p>
          <w:p w:rsidR="00A11DF3" w:rsidRDefault="00A11DF3" w:rsidP="00D566AA">
            <w:pPr>
              <w:ind w:right="252"/>
              <w:rPr>
                <w:rFonts w:ascii="Arial" w:hAnsi="Arial" w:cs="Arial"/>
                <w:sz w:val="20"/>
                <w:szCs w:val="20"/>
              </w:rPr>
            </w:pPr>
          </w:p>
          <w:p w:rsidR="00A11DF3" w:rsidRDefault="00A11DF3" w:rsidP="00D566AA">
            <w:pPr>
              <w:ind w:right="252"/>
              <w:rPr>
                <w:rFonts w:ascii="Arial" w:hAnsi="Arial" w:cs="Arial"/>
                <w:sz w:val="20"/>
                <w:szCs w:val="20"/>
              </w:rPr>
            </w:pPr>
            <w:r>
              <w:rPr>
                <w:rFonts w:ascii="Arial" w:hAnsi="Arial" w:cs="Arial"/>
                <w:sz w:val="20"/>
                <w:szCs w:val="20"/>
              </w:rPr>
              <w:t xml:space="preserve">In addition to the phase 2 through the SPTC, WSDOT has a funded SPR project for $250,000 that will begin to build an application suited to WSDOT and perform a pilot of the application in the summer of 2014. </w:t>
            </w:r>
            <w:r w:rsidR="009C73C6">
              <w:rPr>
                <w:rFonts w:ascii="Arial" w:hAnsi="Arial" w:cs="Arial"/>
                <w:sz w:val="20"/>
                <w:szCs w:val="20"/>
              </w:rPr>
              <w:t>Phase 2 builds on that work and pilots are scheduled for all three states in late summer.</w:t>
            </w:r>
          </w:p>
          <w:p w:rsidR="00D10FB6" w:rsidRDefault="00D10FB6" w:rsidP="00D566AA">
            <w:pPr>
              <w:ind w:right="252"/>
              <w:rPr>
                <w:rFonts w:ascii="Arial" w:hAnsi="Arial" w:cs="Arial"/>
                <w:sz w:val="20"/>
                <w:szCs w:val="20"/>
              </w:rPr>
            </w:pPr>
          </w:p>
          <w:p w:rsidR="00D10FB6" w:rsidRDefault="009C73C6" w:rsidP="00D566AA">
            <w:pPr>
              <w:ind w:right="252"/>
              <w:rPr>
                <w:rFonts w:ascii="Arial" w:hAnsi="Arial" w:cs="Arial"/>
                <w:sz w:val="20"/>
                <w:szCs w:val="20"/>
              </w:rPr>
            </w:pPr>
            <w:r>
              <w:rPr>
                <w:rFonts w:ascii="Arial" w:hAnsi="Arial" w:cs="Arial"/>
                <w:sz w:val="20"/>
                <w:szCs w:val="20"/>
              </w:rPr>
              <w:t>The SPTC meeting was held in May of 2014 at TTI. Notes are available.</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D10FB6" w:rsidRDefault="009C73C6" w:rsidP="00F30254">
            <w:pPr>
              <w:ind w:right="180"/>
              <w:rPr>
                <w:rFonts w:ascii="Arial" w:hAnsi="Arial" w:cs="Arial"/>
                <w:sz w:val="20"/>
                <w:szCs w:val="20"/>
              </w:rPr>
            </w:pPr>
            <w:r>
              <w:rPr>
                <w:rFonts w:ascii="Arial" w:hAnsi="Arial" w:cs="Arial"/>
                <w:sz w:val="20"/>
                <w:szCs w:val="20"/>
              </w:rPr>
              <w:t>Continue work on the headlight mobile inspection app. Finish up the pilots in the three states and wrap up the project.</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CF" w:rsidRDefault="007D44CF" w:rsidP="00106C83">
      <w:pPr>
        <w:spacing w:after="0" w:line="240" w:lineRule="auto"/>
      </w:pPr>
      <w:r>
        <w:separator/>
      </w:r>
    </w:p>
  </w:endnote>
  <w:endnote w:type="continuationSeparator" w:id="0">
    <w:p w:rsidR="007D44CF" w:rsidRDefault="007D44C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CF" w:rsidRDefault="007D44CF" w:rsidP="00106C83">
      <w:pPr>
        <w:spacing w:after="0" w:line="240" w:lineRule="auto"/>
      </w:pPr>
      <w:r>
        <w:separator/>
      </w:r>
    </w:p>
  </w:footnote>
  <w:footnote w:type="continuationSeparator" w:id="0">
    <w:p w:rsidR="007D44CF" w:rsidRDefault="007D44C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1"/>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3DAE"/>
    <w:rsid w:val="000736BB"/>
    <w:rsid w:val="000B665A"/>
    <w:rsid w:val="000E62BB"/>
    <w:rsid w:val="00106C83"/>
    <w:rsid w:val="001547D0"/>
    <w:rsid w:val="00161153"/>
    <w:rsid w:val="0021446D"/>
    <w:rsid w:val="00226570"/>
    <w:rsid w:val="00247AE5"/>
    <w:rsid w:val="00293FD8"/>
    <w:rsid w:val="002A79C8"/>
    <w:rsid w:val="002B709B"/>
    <w:rsid w:val="00312375"/>
    <w:rsid w:val="0038705A"/>
    <w:rsid w:val="003C2AE6"/>
    <w:rsid w:val="003D1C23"/>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69631F"/>
    <w:rsid w:val="006A31D0"/>
    <w:rsid w:val="00743C01"/>
    <w:rsid w:val="00790C4A"/>
    <w:rsid w:val="007D44CF"/>
    <w:rsid w:val="007D76A2"/>
    <w:rsid w:val="007E5BD2"/>
    <w:rsid w:val="008234C1"/>
    <w:rsid w:val="0082465D"/>
    <w:rsid w:val="00845F3E"/>
    <w:rsid w:val="00853C7E"/>
    <w:rsid w:val="00872F18"/>
    <w:rsid w:val="00874EF7"/>
    <w:rsid w:val="00905DAC"/>
    <w:rsid w:val="00906121"/>
    <w:rsid w:val="009929BE"/>
    <w:rsid w:val="009C73C6"/>
    <w:rsid w:val="00A11DF3"/>
    <w:rsid w:val="00A12B26"/>
    <w:rsid w:val="00A43875"/>
    <w:rsid w:val="00A63677"/>
    <w:rsid w:val="00AC7279"/>
    <w:rsid w:val="00AE46B0"/>
    <w:rsid w:val="00B2185C"/>
    <w:rsid w:val="00B358DC"/>
    <w:rsid w:val="00B5496C"/>
    <w:rsid w:val="00B66A21"/>
    <w:rsid w:val="00B76CDE"/>
    <w:rsid w:val="00BA0DA8"/>
    <w:rsid w:val="00BC6B84"/>
    <w:rsid w:val="00BF2756"/>
    <w:rsid w:val="00C12A61"/>
    <w:rsid w:val="00C13753"/>
    <w:rsid w:val="00C5421E"/>
    <w:rsid w:val="00CD6DC6"/>
    <w:rsid w:val="00D10FB6"/>
    <w:rsid w:val="00D262FF"/>
    <w:rsid w:val="00D42A15"/>
    <w:rsid w:val="00D566AA"/>
    <w:rsid w:val="00D870B3"/>
    <w:rsid w:val="00E0526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04C38-5A5D-45C5-97AF-0455CB56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2014-09-17T19:29:00Z</dcterms:created>
  <dcterms:modified xsi:type="dcterms:W3CDTF">2014-09-17T19:29:00Z</dcterms:modified>
</cp:coreProperties>
</file>