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C1079D" w:rsidP="00C1079D">
            <w:pPr>
              <w:spacing w:after="0" w:line="240" w:lineRule="auto"/>
              <w:ind w:right="-108"/>
              <w:rPr>
                <w:rFonts w:ascii="Arial" w:hAnsi="Arial" w:cs="Arial"/>
                <w:b/>
                <w:sz w:val="20"/>
                <w:szCs w:val="20"/>
              </w:rPr>
            </w:pPr>
            <w:r>
              <w:rPr>
                <w:rFonts w:ascii="Arial" w:hAnsi="Arial" w:cs="Arial"/>
                <w:b/>
                <w:sz w:val="20"/>
                <w:szCs w:val="20"/>
              </w:rPr>
              <w:t>TPF-5(296</w:t>
            </w:r>
            <w:r w:rsidR="000C209F"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C31CD"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A34F1F">
              <w:rPr>
                <w:rFonts w:ascii="Arial" w:hAnsi="Arial" w:cs="Arial"/>
                <w:sz w:val="36"/>
                <w:szCs w:val="36"/>
                <w:u w:val="single"/>
              </w:rPr>
              <w:t>_</w:t>
            </w:r>
            <w:r w:rsidRPr="00FC31CD">
              <w:rPr>
                <w:rFonts w:ascii="Arial" w:hAnsi="Arial" w:cs="Arial"/>
                <w:sz w:val="36"/>
                <w:szCs w:val="36"/>
              </w:rPr>
              <w:t xml:space="preserve"> </w:t>
            </w:r>
            <w:r w:rsidRPr="00FC31CD">
              <w:rPr>
                <w:rFonts w:ascii="Arial" w:hAnsi="Arial" w:cs="Arial"/>
                <w:sz w:val="20"/>
                <w:szCs w:val="20"/>
              </w:rPr>
              <w:t>Quarter 1 (January 1 – March 31</w:t>
            </w:r>
            <w:r w:rsidR="005C75FE" w:rsidRPr="00FC31CD">
              <w:rPr>
                <w:rFonts w:ascii="Arial" w:hAnsi="Arial" w:cs="Arial"/>
                <w:sz w:val="20"/>
                <w:szCs w:val="20"/>
              </w:rPr>
              <w:t xml:space="preserve">, </w:t>
            </w:r>
            <w:r w:rsidR="003E4DE4" w:rsidRPr="00FC31CD">
              <w:rPr>
                <w:rFonts w:ascii="Arial" w:hAnsi="Arial" w:cs="Arial"/>
                <w:sz w:val="20"/>
                <w:szCs w:val="20"/>
              </w:rPr>
              <w:t>2014</w:t>
            </w:r>
            <w:r w:rsidRPr="00FC31CD">
              <w:rPr>
                <w:rFonts w:ascii="Arial" w:hAnsi="Arial" w:cs="Arial"/>
                <w:sz w:val="20"/>
                <w:szCs w:val="20"/>
              </w:rPr>
              <w:t>)</w:t>
            </w:r>
          </w:p>
          <w:p w:rsidR="000C209F" w:rsidRPr="00FC31CD" w:rsidRDefault="000C209F" w:rsidP="00360664">
            <w:pPr>
              <w:spacing w:after="0" w:line="240" w:lineRule="auto"/>
              <w:ind w:left="-108" w:right="-108"/>
              <w:rPr>
                <w:rFonts w:ascii="Arial" w:hAnsi="Arial" w:cs="Arial"/>
                <w:b/>
                <w:sz w:val="20"/>
                <w:szCs w:val="20"/>
              </w:rPr>
            </w:pPr>
            <w:r w:rsidRPr="00360664">
              <w:rPr>
                <w:rFonts w:ascii="Arial" w:hAnsi="Arial" w:cs="Arial"/>
                <w:sz w:val="36"/>
                <w:szCs w:val="36"/>
              </w:rPr>
              <w:t xml:space="preserve"> </w:t>
            </w:r>
            <w:r w:rsidR="00A34F1F" w:rsidRPr="00FC31CD">
              <w:rPr>
                <w:rFonts w:ascii="Arial" w:hAnsi="Arial" w:cs="Arial"/>
                <w:b/>
                <w:sz w:val="36"/>
                <w:szCs w:val="36"/>
                <w:u w:val="single"/>
              </w:rPr>
              <w:t>x</w:t>
            </w:r>
            <w:r w:rsidR="00C47C4A" w:rsidRPr="00FC31CD">
              <w:rPr>
                <w:rFonts w:ascii="Arial" w:hAnsi="Arial" w:cs="Arial"/>
                <w:b/>
                <w:sz w:val="36"/>
                <w:szCs w:val="36"/>
              </w:rPr>
              <w:t xml:space="preserve"> </w:t>
            </w:r>
            <w:r w:rsidRPr="00FC31CD">
              <w:rPr>
                <w:rFonts w:ascii="Arial" w:hAnsi="Arial" w:cs="Arial"/>
                <w:b/>
                <w:sz w:val="20"/>
                <w:szCs w:val="20"/>
              </w:rPr>
              <w:t>Quarter 2 (April 1 – June 30</w:t>
            </w:r>
            <w:r w:rsidR="002C4321" w:rsidRPr="00FC31CD">
              <w:rPr>
                <w:rFonts w:ascii="Arial" w:hAnsi="Arial" w:cs="Arial"/>
                <w:b/>
                <w:sz w:val="20"/>
                <w:szCs w:val="20"/>
              </w:rPr>
              <w:t>, 201</w:t>
            </w:r>
            <w:r w:rsidR="003E4DE4" w:rsidRPr="00FC31CD">
              <w:rPr>
                <w:rFonts w:ascii="Arial" w:hAnsi="Arial" w:cs="Arial"/>
                <w:b/>
                <w:sz w:val="20"/>
                <w:szCs w:val="20"/>
              </w:rPr>
              <w:t>4</w:t>
            </w:r>
            <w:r w:rsidRPr="00FC31CD">
              <w:rPr>
                <w:rFonts w:ascii="Arial" w:hAnsi="Arial" w:cs="Arial"/>
                <w:b/>
                <w:sz w:val="20"/>
                <w:szCs w:val="20"/>
              </w:rPr>
              <w:t>)</w:t>
            </w:r>
          </w:p>
          <w:p w:rsidR="000C209F" w:rsidRPr="00C26570" w:rsidRDefault="00C26570" w:rsidP="00360664">
            <w:pPr>
              <w:spacing w:after="0" w:line="240" w:lineRule="auto"/>
              <w:ind w:right="-720"/>
              <w:rPr>
                <w:rFonts w:ascii="Arial" w:hAnsi="Arial" w:cs="Arial"/>
                <w:sz w:val="20"/>
                <w:szCs w:val="20"/>
              </w:rPr>
            </w:pPr>
            <w:r w:rsidRPr="00C26570">
              <w:rPr>
                <w:rFonts w:ascii="Arial" w:hAnsi="Arial" w:cs="Arial"/>
                <w:sz w:val="36"/>
                <w:szCs w:val="36"/>
              </w:rPr>
              <w:t>_</w:t>
            </w:r>
            <w:r w:rsidR="001D763A" w:rsidRPr="00C26570">
              <w:rPr>
                <w:rFonts w:ascii="Arial" w:hAnsi="Arial" w:cs="Arial"/>
                <w:sz w:val="36"/>
                <w:szCs w:val="36"/>
              </w:rPr>
              <w:t xml:space="preserve"> </w:t>
            </w:r>
            <w:r w:rsidR="000C209F" w:rsidRPr="00C26570">
              <w:rPr>
                <w:rFonts w:ascii="Arial" w:hAnsi="Arial" w:cs="Arial"/>
                <w:sz w:val="20"/>
                <w:szCs w:val="20"/>
              </w:rPr>
              <w:t>Quarter 3 (July 1 – September 30</w:t>
            </w:r>
            <w:r w:rsidR="002C4321" w:rsidRPr="00C26570">
              <w:rPr>
                <w:rFonts w:ascii="Arial" w:hAnsi="Arial" w:cs="Arial"/>
                <w:sz w:val="20"/>
                <w:szCs w:val="20"/>
              </w:rPr>
              <w:t>, 201</w:t>
            </w:r>
            <w:r w:rsidR="003E4DE4">
              <w:rPr>
                <w:rFonts w:ascii="Arial" w:hAnsi="Arial" w:cs="Arial"/>
                <w:sz w:val="20"/>
                <w:szCs w:val="20"/>
              </w:rPr>
              <w:t>4</w:t>
            </w:r>
            <w:r w:rsidR="000C209F" w:rsidRPr="00C26570">
              <w:rPr>
                <w:rFonts w:ascii="Arial" w:hAnsi="Arial" w:cs="Arial"/>
                <w:sz w:val="20"/>
                <w:szCs w:val="20"/>
              </w:rPr>
              <w:t>)</w:t>
            </w:r>
          </w:p>
          <w:p w:rsidR="000C209F" w:rsidRPr="003E4DE4" w:rsidRDefault="003E4DE4" w:rsidP="003E4DE4">
            <w:pPr>
              <w:spacing w:after="0" w:line="240" w:lineRule="auto"/>
              <w:ind w:right="-720"/>
              <w:rPr>
                <w:rFonts w:ascii="Arial" w:hAnsi="Arial" w:cs="Arial"/>
                <w:sz w:val="20"/>
                <w:szCs w:val="20"/>
              </w:rPr>
            </w:pPr>
            <w:r w:rsidRPr="00C26570">
              <w:rPr>
                <w:rFonts w:ascii="Arial" w:hAnsi="Arial" w:cs="Arial"/>
                <w:sz w:val="36"/>
                <w:szCs w:val="36"/>
              </w:rPr>
              <w:t>_</w:t>
            </w:r>
            <w:r w:rsidR="00532264" w:rsidRPr="003E4DE4">
              <w:rPr>
                <w:rFonts w:ascii="Arial" w:hAnsi="Arial" w:cs="Arial"/>
                <w:sz w:val="36"/>
                <w:szCs w:val="36"/>
              </w:rPr>
              <w:t xml:space="preserve"> </w:t>
            </w:r>
            <w:r w:rsidR="000C209F" w:rsidRPr="003E4DE4">
              <w:rPr>
                <w:rFonts w:ascii="Arial" w:hAnsi="Arial" w:cs="Arial"/>
                <w:sz w:val="20"/>
                <w:szCs w:val="20"/>
              </w:rPr>
              <w:t xml:space="preserve">Quarter </w:t>
            </w:r>
            <w:r w:rsidR="005C75FE" w:rsidRPr="003E4DE4">
              <w:rPr>
                <w:rFonts w:ascii="Arial" w:hAnsi="Arial" w:cs="Arial"/>
                <w:sz w:val="20"/>
                <w:szCs w:val="20"/>
              </w:rPr>
              <w:t>4 (October 1 – December 31</w:t>
            </w:r>
            <w:r w:rsidR="002C4321" w:rsidRPr="003E4DE4">
              <w:rPr>
                <w:rFonts w:ascii="Arial" w:hAnsi="Arial" w:cs="Arial"/>
                <w:sz w:val="20"/>
                <w:szCs w:val="20"/>
              </w:rPr>
              <w:t>, 201</w:t>
            </w:r>
            <w:r w:rsidRPr="003E4DE4">
              <w:rPr>
                <w:rFonts w:ascii="Arial" w:hAnsi="Arial" w:cs="Arial"/>
                <w:sz w:val="20"/>
                <w:szCs w:val="20"/>
              </w:rPr>
              <w:t>4</w:t>
            </w:r>
            <w:r w:rsidR="000C209F" w:rsidRPr="003E4DE4">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bookmarkStart w:id="0" w:name="_GoBack"/>
            <w:bookmarkEnd w:id="0"/>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sidRPr="001C1DDE">
              <w:rPr>
                <w:rFonts w:ascii="Arial" w:hAnsi="Arial" w:cs="Arial"/>
                <w:sz w:val="20"/>
                <w:szCs w:val="20"/>
              </w:rPr>
              <w:t>November 30, 2016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845B74">
            <w:pPr>
              <w:spacing w:after="0" w:line="240" w:lineRule="auto"/>
              <w:ind w:right="-108"/>
              <w:jc w:val="center"/>
              <w:rPr>
                <w:rFonts w:ascii="Arial" w:hAnsi="Arial" w:cs="Arial"/>
                <w:sz w:val="20"/>
                <w:szCs w:val="20"/>
              </w:rPr>
            </w:pPr>
            <w:r w:rsidRPr="00360664">
              <w:rPr>
                <w:rFonts w:ascii="Arial" w:hAnsi="Arial" w:cs="Arial"/>
                <w:sz w:val="20"/>
                <w:szCs w:val="20"/>
              </w:rPr>
              <w:t>$</w:t>
            </w:r>
            <w:r>
              <w:rPr>
                <w:rFonts w:ascii="Arial" w:hAnsi="Arial" w:cs="Arial"/>
                <w:sz w:val="20"/>
                <w:szCs w:val="20"/>
              </w:rPr>
              <w:t>88,0</w:t>
            </w:r>
            <w:r w:rsidRPr="00360664">
              <w:rPr>
                <w:rFonts w:ascii="Arial" w:hAnsi="Arial" w:cs="Arial"/>
                <w:sz w:val="20"/>
                <w:szCs w:val="20"/>
              </w:rPr>
              <w:t>00.00</w:t>
            </w:r>
            <w:r>
              <w:rPr>
                <w:rFonts w:ascii="Arial" w:hAnsi="Arial" w:cs="Arial"/>
                <w:sz w:val="20"/>
                <w:szCs w:val="20"/>
              </w:rPr>
              <w:t xml:space="preserve"> (current contract)</w:t>
            </w:r>
          </w:p>
          <w:p w:rsidR="00845B74" w:rsidRPr="00360664" w:rsidRDefault="00845B74" w:rsidP="007449D3">
            <w:pPr>
              <w:spacing w:after="0" w:line="240" w:lineRule="auto"/>
              <w:ind w:right="-108"/>
              <w:jc w:val="center"/>
              <w:rPr>
                <w:rFonts w:ascii="Arial" w:hAnsi="Arial" w:cs="Arial"/>
                <w:sz w:val="20"/>
                <w:szCs w:val="20"/>
              </w:rPr>
            </w:pPr>
            <w:r>
              <w:rPr>
                <w:rFonts w:ascii="Arial" w:hAnsi="Arial" w:cs="Arial"/>
                <w:sz w:val="20"/>
                <w:szCs w:val="20"/>
              </w:rPr>
              <w:t>$1</w:t>
            </w:r>
            <w:r w:rsidR="007449D3">
              <w:rPr>
                <w:rFonts w:ascii="Arial" w:hAnsi="Arial" w:cs="Arial"/>
                <w:sz w:val="20"/>
                <w:szCs w:val="20"/>
              </w:rPr>
              <w:t>48</w:t>
            </w:r>
            <w:r>
              <w:rPr>
                <w:rFonts w:ascii="Arial" w:hAnsi="Arial" w:cs="Arial"/>
                <w:sz w:val="20"/>
                <w:szCs w:val="20"/>
              </w:rPr>
              <w:t>,000.00 (total committed)</w:t>
            </w:r>
          </w:p>
        </w:tc>
        <w:tc>
          <w:tcPr>
            <w:tcW w:w="3330" w:type="dxa"/>
            <w:vAlign w:val="center"/>
          </w:tcPr>
          <w:p w:rsidR="000C209F" w:rsidRPr="00360664" w:rsidRDefault="006F1879" w:rsidP="002F66FD">
            <w:pPr>
              <w:spacing w:after="0" w:line="240" w:lineRule="auto"/>
              <w:ind w:left="-108" w:right="-108"/>
              <w:jc w:val="center"/>
              <w:rPr>
                <w:rFonts w:ascii="Arial" w:hAnsi="Arial" w:cs="Arial"/>
                <w:sz w:val="20"/>
                <w:szCs w:val="20"/>
              </w:rPr>
            </w:pPr>
            <w:r>
              <w:rPr>
                <w:rFonts w:ascii="Arial" w:hAnsi="Arial" w:cs="Arial"/>
                <w:sz w:val="20"/>
                <w:szCs w:val="20"/>
              </w:rPr>
              <w:t>$</w:t>
            </w:r>
            <w:r w:rsidR="002F66FD">
              <w:rPr>
                <w:rFonts w:ascii="Arial" w:hAnsi="Arial" w:cs="Arial"/>
                <w:sz w:val="20"/>
                <w:szCs w:val="20"/>
              </w:rPr>
              <w:t>24,000</w:t>
            </w:r>
          </w:p>
        </w:tc>
        <w:tc>
          <w:tcPr>
            <w:tcW w:w="3420" w:type="dxa"/>
            <w:vAlign w:val="center"/>
          </w:tcPr>
          <w:p w:rsidR="000C209F" w:rsidRPr="00360664" w:rsidRDefault="002F66FD" w:rsidP="00360664">
            <w:pPr>
              <w:spacing w:after="0" w:line="240" w:lineRule="auto"/>
              <w:ind w:left="-108" w:right="-108"/>
              <w:jc w:val="center"/>
              <w:rPr>
                <w:rFonts w:ascii="Arial" w:hAnsi="Arial" w:cs="Arial"/>
                <w:sz w:val="20"/>
                <w:szCs w:val="20"/>
              </w:rPr>
            </w:pPr>
            <w:r>
              <w:rPr>
                <w:rFonts w:ascii="Arial" w:hAnsi="Arial" w:cs="Arial"/>
                <w:sz w:val="20"/>
                <w:szCs w:val="20"/>
              </w:rPr>
              <w:t>1</w:t>
            </w:r>
            <w:r w:rsidR="00974B55">
              <w:rPr>
                <w:rFonts w:ascii="Arial" w:hAnsi="Arial" w:cs="Arial"/>
                <w:sz w:val="20"/>
                <w:szCs w:val="20"/>
              </w:rPr>
              <w:t>5</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2F66FD" w:rsidP="00360664">
            <w:pPr>
              <w:spacing w:after="0" w:line="240" w:lineRule="auto"/>
              <w:ind w:right="-108"/>
              <w:jc w:val="center"/>
              <w:rPr>
                <w:rFonts w:ascii="Arial" w:hAnsi="Arial" w:cs="Arial"/>
                <w:sz w:val="20"/>
                <w:szCs w:val="20"/>
              </w:rPr>
            </w:pPr>
            <w:r>
              <w:rPr>
                <w:rFonts w:ascii="Arial" w:hAnsi="Arial" w:cs="Arial"/>
                <w:sz w:val="20"/>
                <w:szCs w:val="20"/>
              </w:rPr>
              <w:t>15%</w:t>
            </w:r>
          </w:p>
        </w:tc>
        <w:tc>
          <w:tcPr>
            <w:tcW w:w="3330" w:type="dxa"/>
          </w:tcPr>
          <w:p w:rsidR="000C209F" w:rsidRPr="00360664" w:rsidRDefault="006F1879" w:rsidP="002F66FD">
            <w:pPr>
              <w:spacing w:after="0" w:line="240" w:lineRule="auto"/>
              <w:ind w:right="-108"/>
              <w:jc w:val="center"/>
              <w:rPr>
                <w:rFonts w:ascii="Arial" w:hAnsi="Arial" w:cs="Arial"/>
                <w:sz w:val="20"/>
                <w:szCs w:val="20"/>
              </w:rPr>
            </w:pPr>
            <w:r>
              <w:rPr>
                <w:rFonts w:ascii="Arial" w:hAnsi="Arial" w:cs="Arial"/>
                <w:sz w:val="20"/>
                <w:szCs w:val="20"/>
              </w:rPr>
              <w:t>$</w:t>
            </w:r>
            <w:r w:rsidR="002F66FD">
              <w:rPr>
                <w:rFonts w:ascii="Arial" w:hAnsi="Arial" w:cs="Arial"/>
                <w:sz w:val="20"/>
                <w:szCs w:val="20"/>
              </w:rPr>
              <w:t>24,000</w:t>
            </w:r>
          </w:p>
        </w:tc>
        <w:tc>
          <w:tcPr>
            <w:tcW w:w="3420" w:type="dxa"/>
          </w:tcPr>
          <w:p w:rsidR="000C209F" w:rsidRPr="00360664" w:rsidRDefault="002F66FD" w:rsidP="00360664">
            <w:pPr>
              <w:spacing w:after="0" w:line="240" w:lineRule="auto"/>
              <w:ind w:left="-108" w:right="-108"/>
              <w:jc w:val="center"/>
              <w:rPr>
                <w:rFonts w:ascii="Arial" w:hAnsi="Arial" w:cs="Arial"/>
                <w:sz w:val="20"/>
                <w:szCs w:val="20"/>
              </w:rPr>
            </w:pPr>
            <w:r>
              <w:rPr>
                <w:rFonts w:ascii="Arial" w:hAnsi="Arial" w:cs="Arial"/>
                <w:sz w:val="20"/>
                <w:szCs w:val="20"/>
              </w:rPr>
              <w:t>12</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w:t>
            </w:r>
            <w:r>
              <w:rPr>
                <w:rFonts w:ascii="Arial" w:hAnsi="Arial" w:cs="Arial"/>
                <w:sz w:val="20"/>
                <w:szCs w:val="20"/>
              </w:rPr>
              <w:t>s and post-earthquake recovery.</w:t>
            </w:r>
          </w:p>
          <w:p w:rsidR="008E57BB" w:rsidRP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8E57BB">
              <w:rPr>
                <w:rFonts w:ascii="Arial" w:hAnsi="Arial" w:cs="Arial"/>
                <w:sz w:val="20"/>
                <w:szCs w:val="20"/>
              </w:rPr>
              <w:t>Rathje</w:t>
            </w:r>
            <w:proofErr w:type="spellEnd"/>
            <w:r w:rsidRPr="008E57BB">
              <w:rPr>
                <w:rFonts w:ascii="Arial" w:hAnsi="Arial" w:cs="Arial"/>
                <w:sz w:val="20"/>
                <w:szCs w:val="20"/>
              </w:rPr>
              <w:t xml:space="preserve"> and </w:t>
            </w:r>
            <w:proofErr w:type="spellStart"/>
            <w:r w:rsidRPr="008E57BB">
              <w:rPr>
                <w:rFonts w:ascii="Arial" w:hAnsi="Arial" w:cs="Arial"/>
                <w:sz w:val="20"/>
                <w:szCs w:val="20"/>
              </w:rPr>
              <w:t>Saygili</w:t>
            </w:r>
            <w:proofErr w:type="spellEnd"/>
            <w:r w:rsidRPr="008E57BB">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w:t>
            </w:r>
            <w:r>
              <w:rPr>
                <w:rFonts w:ascii="Arial" w:hAnsi="Arial" w:cs="Arial"/>
                <w:sz w:val="20"/>
                <w:szCs w:val="20"/>
              </w:rPr>
              <w:t xml:space="preserve"> of most practicing engineers.</w:t>
            </w:r>
          </w:p>
          <w:p w:rsid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This study proposes to create and evaluate </w:t>
            </w:r>
            <w:r w:rsidRPr="008E57BB">
              <w:rPr>
                <w:rFonts w:ascii="Arial" w:hAnsi="Arial" w:cs="Arial"/>
                <w:i/>
                <w:sz w:val="20"/>
                <w:szCs w:val="20"/>
              </w:rPr>
              <w:t>simplified</w:t>
            </w:r>
            <w:r w:rsidRPr="008E57BB">
              <w:rPr>
                <w:rFonts w:ascii="Arial" w:hAnsi="Arial" w:cs="Arial"/>
                <w:sz w:val="20"/>
                <w:szCs w:val="20"/>
              </w:rPr>
              <w:t xml:space="preserve"> performance-based design procedures for the </w:t>
            </w:r>
            <w:r w:rsidRPr="008E57BB">
              <w:rPr>
                <w:rFonts w:ascii="Arial" w:hAnsi="Arial" w:cs="Arial"/>
                <w:i/>
                <w:sz w:val="20"/>
                <w:szCs w:val="20"/>
              </w:rPr>
              <w:t>a priori</w:t>
            </w:r>
            <w:r w:rsidRPr="008E57BB">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1. Derive new simplified performance-based procedure for liquefaction triggering, lateral spread displacement, free-field post-liquefaction settlements, and </w:t>
            </w:r>
            <w:proofErr w:type="spellStart"/>
            <w:r w:rsidRPr="000C65A5">
              <w:rPr>
                <w:rFonts w:ascii="Arial" w:hAnsi="Arial" w:cs="Arial"/>
                <w:sz w:val="20"/>
                <w:szCs w:val="20"/>
              </w:rPr>
              <w:t>Newmark</w:t>
            </w:r>
            <w:proofErr w:type="spellEnd"/>
            <w:r w:rsidRPr="000C65A5">
              <w:rPr>
                <w:rFonts w:ascii="Arial" w:hAnsi="Arial" w:cs="Arial"/>
                <w:sz w:val="20"/>
                <w:szCs w:val="20"/>
              </w:rPr>
              <w:t xml:space="preserve"> seismic slope displacements.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3. Evaluate the new simplified performance-based liquefaction procedures against conventional (i.e., AASHTO) liquefaction analysis procedures. </w:t>
            </w:r>
          </w:p>
          <w:p w:rsidR="00814F16" w:rsidRDefault="000C65A5" w:rsidP="000C65A5">
            <w:pPr>
              <w:spacing w:after="0" w:line="240" w:lineRule="auto"/>
              <w:rPr>
                <w:rFonts w:ascii="Arial" w:hAnsi="Arial" w:cs="Arial"/>
                <w:sz w:val="20"/>
                <w:szCs w:val="20"/>
              </w:rPr>
            </w:pPr>
            <w:r w:rsidRPr="000C65A5">
              <w:rPr>
                <w:rFonts w:ascii="Arial" w:hAnsi="Arial" w:cs="Arial"/>
                <w:sz w:val="20"/>
                <w:szCs w:val="20"/>
              </w:rPr>
              <w:t>4. Develop a simplified design procedure that will allow the designer to envelope the performance-based and conventional results to select which</w:t>
            </w:r>
            <w:r>
              <w:rPr>
                <w:rFonts w:ascii="Arial" w:hAnsi="Arial" w:cs="Arial"/>
                <w:sz w:val="20"/>
                <w:szCs w:val="20"/>
              </w:rPr>
              <w:t xml:space="preserve"> result will govern the design.</w:t>
            </w:r>
            <w:r>
              <w:rPr>
                <w:rFonts w:ascii="Arial" w:hAnsi="Arial" w:cs="Arial"/>
                <w:sz w:val="20"/>
                <w:szCs w:val="20"/>
              </w:rPr>
              <w:br/>
            </w: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regarding the participating states: </w:t>
            </w:r>
          </w:p>
          <w:p w:rsidR="004F586D" w:rsidRPr="004F586D" w:rsidRDefault="004F586D" w:rsidP="004F586D">
            <w:pPr>
              <w:spacing w:after="0" w:line="240" w:lineRule="auto"/>
              <w:rPr>
                <w:rFonts w:ascii="Arial" w:hAnsi="Arial" w:cs="Arial"/>
                <w:sz w:val="20"/>
                <w:szCs w:val="20"/>
              </w:rPr>
            </w:pP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 Derivation and validation of a new simplified liquefaction triggering model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2. Derivation and validation of simplified lateral spread displacement models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3. Derivation and validation of simplified post-liquefaction settlement models (Year 2).</w:t>
            </w:r>
            <w:r w:rsidR="00A2219C">
              <w:rPr>
                <w:rFonts w:ascii="Arial" w:hAnsi="Arial" w:cs="Arial"/>
                <w:sz w:val="20"/>
                <w:szCs w:val="20"/>
              </w:rPr>
              <w:t xml:space="preserve">  (Not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4. Derivation and validation of simplified </w:t>
            </w:r>
            <w:proofErr w:type="spellStart"/>
            <w:r w:rsidRPr="004F586D">
              <w:rPr>
                <w:rFonts w:ascii="Arial" w:hAnsi="Arial" w:cs="Arial"/>
                <w:sz w:val="20"/>
                <w:szCs w:val="20"/>
              </w:rPr>
              <w:t>Newmark</w:t>
            </w:r>
            <w:proofErr w:type="spellEnd"/>
            <w:r w:rsidRPr="004F586D">
              <w:rPr>
                <w:rFonts w:ascii="Arial" w:hAnsi="Arial" w:cs="Arial"/>
                <w:sz w:val="20"/>
                <w:szCs w:val="20"/>
              </w:rPr>
              <w:t xml:space="preserve"> seismic slope displacement models (Year 2). </w:t>
            </w:r>
            <w:r w:rsidR="00A2219C">
              <w:rPr>
                <w:rFonts w:ascii="Arial" w:hAnsi="Arial" w:cs="Arial"/>
                <w:sz w:val="20"/>
                <w:szCs w:val="20"/>
              </w:rPr>
              <w:t xml:space="preserve"> (Not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5. Assessment of grid spacing considerations in various seismic environments for map development (Years 1 &amp; 2). </w:t>
            </w:r>
            <w:r w:rsidR="00A2219C">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6. Development of liquefaction parameter maps at targeted return periods in GIS file format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7. Comparison of simplified, conventional, and deterministic analysis approaches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8. Development of a simplified design procedure and an analysis spreadsheet that incorporates both performance-based and conventional methods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9. Preparation of the annual and final reports (Years 1 &amp; 2).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10. Dissemination of results in appropriate engineering journals and conferences (Years 1 &amp; 2). </w:t>
            </w:r>
          </w:p>
          <w:p w:rsidR="000C209F" w:rsidRDefault="004F586D" w:rsidP="004F586D">
            <w:pPr>
              <w:spacing w:after="0" w:line="240" w:lineRule="auto"/>
              <w:rPr>
                <w:rFonts w:ascii="Arial" w:hAnsi="Arial" w:cs="Arial"/>
                <w:sz w:val="20"/>
                <w:szCs w:val="20"/>
              </w:rPr>
            </w:pPr>
            <w:r w:rsidRPr="004F586D">
              <w:rPr>
                <w:rFonts w:ascii="Arial" w:hAnsi="Arial" w:cs="Arial"/>
                <w:sz w:val="20"/>
                <w:szCs w:val="20"/>
              </w:rPr>
              <w:t>11. Technical Advisory Committee meetings (Years 1 &amp; 2), including a final workshop to train partner states on the new performance-based liquefaction hazard me</w:t>
            </w:r>
            <w:r>
              <w:rPr>
                <w:rFonts w:ascii="Arial" w:hAnsi="Arial" w:cs="Arial"/>
                <w:sz w:val="20"/>
                <w:szCs w:val="20"/>
              </w:rPr>
              <w:t>thods.</w:t>
            </w:r>
          </w:p>
          <w:p w:rsidR="004F586D" w:rsidRDefault="004F586D" w:rsidP="004F586D">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includes representatives from UT, AK, CT, ID, MT</w:t>
            </w:r>
            <w:r w:rsidR="003D6A0B" w:rsidRPr="003D6A0B">
              <w:rPr>
                <w:rFonts w:ascii="Arial" w:hAnsi="Arial" w:cs="Arial"/>
                <w:sz w:val="20"/>
                <w:szCs w:val="20"/>
              </w:rPr>
              <w:t xml:space="preserve">, </w:t>
            </w:r>
            <w:r w:rsidR="003D6A0B">
              <w:rPr>
                <w:rFonts w:ascii="Arial" w:hAnsi="Arial" w:cs="Arial"/>
                <w:sz w:val="20"/>
                <w:szCs w:val="20"/>
              </w:rPr>
              <w:t xml:space="preserve">and </w:t>
            </w:r>
            <w:r w:rsidR="003D6A0B" w:rsidRPr="003D6A0B">
              <w:rPr>
                <w:rFonts w:ascii="Arial" w:hAnsi="Arial" w:cs="Arial"/>
                <w:sz w:val="20"/>
                <w:szCs w:val="20"/>
              </w:rPr>
              <w:t>SC</w:t>
            </w:r>
            <w:r w:rsidR="003D6A0B">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974B55" w:rsidRDefault="00974B55" w:rsidP="002765D0">
            <w:pPr>
              <w:spacing w:after="0" w:line="240" w:lineRule="auto"/>
              <w:rPr>
                <w:rFonts w:ascii="Arial" w:hAnsi="Arial" w:cs="Arial"/>
                <w:sz w:val="20"/>
                <w:szCs w:val="20"/>
              </w:rPr>
            </w:pPr>
          </w:p>
          <w:p w:rsidR="00974B55" w:rsidRDefault="00974B55" w:rsidP="002765D0">
            <w:pPr>
              <w:spacing w:after="0" w:line="240" w:lineRule="auto"/>
              <w:rPr>
                <w:rFonts w:ascii="Arial" w:hAnsi="Arial" w:cs="Arial"/>
                <w:sz w:val="20"/>
                <w:szCs w:val="20"/>
              </w:rPr>
            </w:pP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1 –</w:t>
            </w:r>
            <w:r>
              <w:rPr>
                <w:rFonts w:ascii="Arial" w:hAnsi="Arial" w:cs="Arial"/>
                <w:sz w:val="20"/>
                <w:szCs w:val="20"/>
              </w:rPr>
              <w:t xml:space="preserve"> </w:t>
            </w:r>
            <w:r w:rsidR="00A4439C">
              <w:rPr>
                <w:rFonts w:ascii="Arial" w:hAnsi="Arial" w:cs="Arial"/>
                <w:sz w:val="20"/>
                <w:szCs w:val="20"/>
              </w:rPr>
              <w:t>100</w:t>
            </w:r>
            <w:r>
              <w:rPr>
                <w:rFonts w:ascii="Arial" w:hAnsi="Arial" w:cs="Arial"/>
                <w:sz w:val="20"/>
                <w:szCs w:val="20"/>
              </w:rPr>
              <w:t>% complete.</w:t>
            </w:r>
          </w:p>
          <w:p w:rsid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2 – </w:t>
            </w:r>
            <w:r w:rsidR="00A4439C">
              <w:rPr>
                <w:rFonts w:ascii="Arial" w:hAnsi="Arial" w:cs="Arial"/>
                <w:sz w:val="20"/>
                <w:szCs w:val="20"/>
              </w:rPr>
              <w:t>100</w:t>
            </w:r>
            <w:r>
              <w:rPr>
                <w:rFonts w:ascii="Arial" w:hAnsi="Arial" w:cs="Arial"/>
                <w:sz w:val="20"/>
                <w:szCs w:val="20"/>
              </w:rPr>
              <w:t>% complete.</w:t>
            </w:r>
            <w:r w:rsidR="00B773E9">
              <w:rPr>
                <w:rFonts w:ascii="Arial" w:hAnsi="Arial" w:cs="Arial"/>
                <w:sz w:val="20"/>
                <w:szCs w:val="20"/>
              </w:rPr>
              <w:t xml:space="preserve">  </w:t>
            </w:r>
            <w:r w:rsidR="00715C3B">
              <w:rPr>
                <w:rFonts w:ascii="Arial" w:hAnsi="Arial" w:cs="Arial"/>
                <w:sz w:val="20"/>
                <w:szCs w:val="20"/>
              </w:rPr>
              <w:t xml:space="preserve">The TAC quarterly update report for Tasks 1 and 2 </w:t>
            </w:r>
            <w:r w:rsidR="000452C8">
              <w:rPr>
                <w:rFonts w:ascii="Arial" w:hAnsi="Arial" w:cs="Arial"/>
                <w:sz w:val="20"/>
                <w:szCs w:val="20"/>
              </w:rPr>
              <w:t xml:space="preserve">was </w:t>
            </w:r>
            <w:r w:rsidR="00715C3B">
              <w:rPr>
                <w:rFonts w:ascii="Arial" w:hAnsi="Arial" w:cs="Arial"/>
                <w:sz w:val="20"/>
                <w:szCs w:val="20"/>
              </w:rPr>
              <w:t>prepared and shared with the TAC.</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3 – Not funded currently.</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4 – </w:t>
            </w:r>
            <w:r>
              <w:rPr>
                <w:rFonts w:ascii="Arial" w:hAnsi="Arial" w:cs="Arial"/>
                <w:sz w:val="20"/>
                <w:szCs w:val="20"/>
              </w:rPr>
              <w:t>Not funded currently</w:t>
            </w:r>
            <w:r w:rsidRPr="00A4212B">
              <w:rPr>
                <w:rFonts w:ascii="Arial" w:hAnsi="Arial" w:cs="Arial"/>
                <w:sz w:val="20"/>
                <w:szCs w:val="20"/>
              </w:rPr>
              <w: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5 – </w:t>
            </w:r>
            <w:r w:rsidR="00A4439C">
              <w:rPr>
                <w:rFonts w:ascii="Arial" w:hAnsi="Arial" w:cs="Arial"/>
                <w:sz w:val="20"/>
                <w:szCs w:val="20"/>
              </w:rPr>
              <w:t>30% complete.  BYU began work on this task.</w:t>
            </w:r>
            <w:r w:rsidR="00EA1C9E">
              <w:rPr>
                <w:rFonts w:ascii="Arial" w:hAnsi="Arial" w:cs="Arial"/>
                <w:sz w:val="20"/>
                <w:szCs w:val="20"/>
              </w:rPr>
              <w:t xml:space="preserve">  A request was made to the TAC members to send BYU information regarding areas in their states where they would like high-resolution grid spacing in map development.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6 – </w:t>
            </w:r>
            <w:r w:rsidR="00A4439C">
              <w:rPr>
                <w:rFonts w:ascii="Arial" w:hAnsi="Arial" w:cs="Arial"/>
                <w:sz w:val="20"/>
                <w:szCs w:val="20"/>
              </w:rPr>
              <w:t>30% complete.  BYU began work on this task.</w:t>
            </w:r>
            <w:r w:rsidR="00FF272F">
              <w:rPr>
                <w:rFonts w:ascii="Arial" w:hAnsi="Arial" w:cs="Arial"/>
                <w:sz w:val="20"/>
                <w:szCs w:val="20"/>
              </w:rPr>
              <w:t xml:space="preserve">  The TAC quarterly update report for initial portions of Tasks 5 and 6 will be prepared and shared with the TAC, along with liquefaction parameter maps.</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7 – No work yet.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8 – No work yet.</w:t>
            </w:r>
          </w:p>
          <w:p w:rsidR="00A4212B" w:rsidRDefault="00A4212B" w:rsidP="00A4212B">
            <w:pPr>
              <w:spacing w:after="0" w:line="240" w:lineRule="auto"/>
              <w:rPr>
                <w:rFonts w:ascii="Arial" w:hAnsi="Arial" w:cs="Arial"/>
                <w:sz w:val="20"/>
                <w:szCs w:val="20"/>
              </w:rPr>
            </w:pPr>
            <w:r w:rsidRPr="00A4212B">
              <w:rPr>
                <w:rFonts w:ascii="Arial" w:hAnsi="Arial" w:cs="Arial"/>
                <w:sz w:val="20"/>
                <w:szCs w:val="20"/>
              </w:rPr>
              <w:t>Task 9 – No work yet.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10 – No work yet.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11 – </w:t>
            </w:r>
            <w:r w:rsidR="00FD2F4A">
              <w:rPr>
                <w:rFonts w:ascii="Arial" w:hAnsi="Arial" w:cs="Arial"/>
                <w:sz w:val="20"/>
                <w:szCs w:val="20"/>
              </w:rPr>
              <w:t>10</w:t>
            </w:r>
            <w:r w:rsidRPr="00A4212B">
              <w:rPr>
                <w:rFonts w:ascii="Arial" w:hAnsi="Arial" w:cs="Arial"/>
                <w:sz w:val="20"/>
                <w:szCs w:val="20"/>
              </w:rPr>
              <w:t>% complete.  A web</w:t>
            </w:r>
            <w:r w:rsidR="00FD2F4A">
              <w:rPr>
                <w:rFonts w:ascii="Arial" w:hAnsi="Arial" w:cs="Arial"/>
                <w:sz w:val="20"/>
                <w:szCs w:val="20"/>
              </w:rPr>
              <w:t xml:space="preserve"> </w:t>
            </w:r>
            <w:r w:rsidRPr="00A4212B">
              <w:rPr>
                <w:rFonts w:ascii="Arial" w:hAnsi="Arial" w:cs="Arial"/>
                <w:sz w:val="20"/>
                <w:szCs w:val="20"/>
              </w:rPr>
              <w:t>conference wa</w:t>
            </w:r>
            <w:r w:rsidR="00C81384">
              <w:rPr>
                <w:rFonts w:ascii="Arial" w:hAnsi="Arial" w:cs="Arial"/>
                <w:sz w:val="20"/>
                <w:szCs w:val="20"/>
              </w:rPr>
              <w:t xml:space="preserve">s held in </w:t>
            </w:r>
            <w:r w:rsidR="00FD2F4A">
              <w:rPr>
                <w:rFonts w:ascii="Arial" w:hAnsi="Arial" w:cs="Arial"/>
                <w:sz w:val="20"/>
                <w:szCs w:val="20"/>
              </w:rPr>
              <w:t xml:space="preserve">June </w:t>
            </w:r>
            <w:r w:rsidR="00C81384">
              <w:rPr>
                <w:rFonts w:ascii="Arial" w:hAnsi="Arial" w:cs="Arial"/>
                <w:sz w:val="20"/>
                <w:szCs w:val="20"/>
              </w:rPr>
              <w:t>with the TAC</w:t>
            </w:r>
            <w:r w:rsidR="00FD2F4A">
              <w:rPr>
                <w:rFonts w:ascii="Arial" w:hAnsi="Arial" w:cs="Arial"/>
                <w:sz w:val="20"/>
                <w:szCs w:val="20"/>
              </w:rPr>
              <w:t>, with BYU presenting a summary of completed Tasks 1 and 2 and the associated TAC quarterly update report</w:t>
            </w:r>
            <w:r w:rsidR="00C81384">
              <w:rPr>
                <w:rFonts w:ascii="Arial" w:hAnsi="Arial" w:cs="Arial"/>
                <w:sz w:val="20"/>
                <w:szCs w:val="20"/>
              </w:rPr>
              <w:t>.</w:t>
            </w:r>
          </w:p>
          <w:p w:rsidR="007D27BC" w:rsidRDefault="00A4212B" w:rsidP="00A4212B">
            <w:pPr>
              <w:spacing w:after="0" w:line="240" w:lineRule="auto"/>
              <w:rPr>
                <w:rFonts w:ascii="Arial" w:hAnsi="Arial" w:cs="Arial"/>
                <w:sz w:val="20"/>
                <w:szCs w:val="20"/>
              </w:rPr>
            </w:pPr>
            <w:r w:rsidRPr="00A4212B">
              <w:rPr>
                <w:rFonts w:ascii="Arial" w:hAnsi="Arial" w:cs="Arial"/>
                <w:sz w:val="20"/>
                <w:szCs w:val="20"/>
              </w:rPr>
              <w:t xml:space="preserve">Contract – </w:t>
            </w:r>
            <w:r w:rsidR="00332429">
              <w:rPr>
                <w:rFonts w:ascii="Arial" w:hAnsi="Arial" w:cs="Arial"/>
                <w:sz w:val="20"/>
                <w:szCs w:val="20"/>
              </w:rPr>
              <w:t>No</w:t>
            </w:r>
            <w:r w:rsidR="003C239E">
              <w:rPr>
                <w:rFonts w:ascii="Arial" w:hAnsi="Arial" w:cs="Arial"/>
                <w:sz w:val="20"/>
                <w:szCs w:val="20"/>
              </w:rPr>
              <w:t xml:space="preserve"> changes were made</w:t>
            </w:r>
            <w:r w:rsidR="00332429">
              <w:rPr>
                <w:rFonts w:ascii="Arial" w:hAnsi="Arial" w:cs="Arial"/>
                <w:sz w:val="20"/>
                <w:szCs w:val="20"/>
              </w:rPr>
              <w:t>.</w:t>
            </w:r>
          </w:p>
          <w:p w:rsidR="009E245A" w:rsidRPr="00360664" w:rsidRDefault="009E245A" w:rsidP="009E245A">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2F44FD" w:rsidRDefault="00B773E9" w:rsidP="00B773E9">
            <w:pPr>
              <w:spacing w:after="0" w:line="240" w:lineRule="auto"/>
              <w:rPr>
                <w:rFonts w:ascii="Arial" w:hAnsi="Arial" w:cs="Arial"/>
                <w:sz w:val="20"/>
                <w:szCs w:val="20"/>
              </w:rPr>
            </w:pPr>
            <w:r w:rsidRPr="00A4212B">
              <w:rPr>
                <w:rFonts w:ascii="Arial" w:hAnsi="Arial" w:cs="Arial"/>
                <w:sz w:val="20"/>
                <w:szCs w:val="20"/>
              </w:rPr>
              <w:t>Task 1 –</w:t>
            </w:r>
            <w:r w:rsidR="00F44489">
              <w:rPr>
                <w:rFonts w:ascii="Arial" w:hAnsi="Arial" w:cs="Arial"/>
                <w:sz w:val="20"/>
                <w:szCs w:val="20"/>
              </w:rPr>
              <w:t xml:space="preserve"> C</w:t>
            </w:r>
            <w:r w:rsidR="00463EA1">
              <w:rPr>
                <w:rFonts w:ascii="Arial" w:hAnsi="Arial" w:cs="Arial"/>
                <w:sz w:val="20"/>
                <w:szCs w:val="20"/>
              </w:rPr>
              <w:t>ompleted</w:t>
            </w:r>
            <w:r w:rsidR="00BC4290">
              <w:rPr>
                <w:rFonts w:ascii="Arial" w:hAnsi="Arial" w:cs="Arial"/>
                <w:sz w:val="20"/>
                <w:szCs w:val="20"/>
              </w:rPr>
              <w:t>.</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Task 2 –</w:t>
            </w:r>
            <w:r w:rsidR="00F44489">
              <w:rPr>
                <w:rFonts w:ascii="Arial" w:hAnsi="Arial" w:cs="Arial"/>
                <w:sz w:val="20"/>
                <w:szCs w:val="20"/>
              </w:rPr>
              <w:t xml:space="preserve"> C</w:t>
            </w:r>
            <w:r w:rsidR="00AE628E">
              <w:rPr>
                <w:rFonts w:ascii="Arial" w:hAnsi="Arial" w:cs="Arial"/>
                <w:sz w:val="20"/>
                <w:szCs w:val="20"/>
              </w:rPr>
              <w:t>ompleted.</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3 – </w:t>
            </w:r>
            <w:r w:rsidR="00E04BD8">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4 – </w:t>
            </w:r>
            <w:r w:rsidR="00E04BD8">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5 – </w:t>
            </w:r>
            <w:r w:rsidR="00A21B03">
              <w:rPr>
                <w:rFonts w:ascii="Arial" w:hAnsi="Arial" w:cs="Arial"/>
                <w:sz w:val="20"/>
                <w:szCs w:val="20"/>
              </w:rPr>
              <w:t>BYU</w:t>
            </w:r>
            <w:r w:rsidR="008D06D3">
              <w:rPr>
                <w:rFonts w:ascii="Arial" w:hAnsi="Arial" w:cs="Arial"/>
                <w:sz w:val="20"/>
                <w:szCs w:val="20"/>
              </w:rPr>
              <w:t xml:space="preserve"> will </w:t>
            </w:r>
            <w:r w:rsidR="00F44489">
              <w:rPr>
                <w:rFonts w:ascii="Arial" w:hAnsi="Arial" w:cs="Arial"/>
                <w:sz w:val="20"/>
                <w:szCs w:val="20"/>
              </w:rPr>
              <w:t xml:space="preserve">continue funded </w:t>
            </w:r>
            <w:r w:rsidR="008D06D3">
              <w:rPr>
                <w:rFonts w:ascii="Arial" w:hAnsi="Arial" w:cs="Arial"/>
                <w:sz w:val="20"/>
                <w:szCs w:val="20"/>
              </w:rPr>
              <w:t>work on this task.</w:t>
            </w:r>
          </w:p>
          <w:p w:rsidR="00A21B03" w:rsidRPr="00A4212B" w:rsidRDefault="00B773E9" w:rsidP="00A21B03">
            <w:pPr>
              <w:spacing w:after="0" w:line="240" w:lineRule="auto"/>
              <w:rPr>
                <w:rFonts w:ascii="Arial" w:hAnsi="Arial" w:cs="Arial"/>
                <w:sz w:val="20"/>
                <w:szCs w:val="20"/>
              </w:rPr>
            </w:pPr>
            <w:r w:rsidRPr="00A4212B">
              <w:rPr>
                <w:rFonts w:ascii="Arial" w:hAnsi="Arial" w:cs="Arial"/>
                <w:sz w:val="20"/>
                <w:szCs w:val="20"/>
              </w:rPr>
              <w:t xml:space="preserve">Task 6 – </w:t>
            </w:r>
            <w:r w:rsidR="00A21B03">
              <w:rPr>
                <w:rFonts w:ascii="Arial" w:hAnsi="Arial" w:cs="Arial"/>
                <w:sz w:val="20"/>
                <w:szCs w:val="20"/>
              </w:rPr>
              <w:t xml:space="preserve">BYU will </w:t>
            </w:r>
            <w:r w:rsidR="00F44489">
              <w:rPr>
                <w:rFonts w:ascii="Arial" w:hAnsi="Arial" w:cs="Arial"/>
                <w:sz w:val="20"/>
                <w:szCs w:val="20"/>
              </w:rPr>
              <w:t xml:space="preserve">continue funded </w:t>
            </w:r>
            <w:r w:rsidR="00A21B03">
              <w:rPr>
                <w:rFonts w:ascii="Arial" w:hAnsi="Arial" w:cs="Arial"/>
                <w:sz w:val="20"/>
                <w:szCs w:val="20"/>
              </w:rPr>
              <w:t>work on this task</w:t>
            </w:r>
            <w:r w:rsidR="008D06D3">
              <w:rPr>
                <w:rFonts w:ascii="Arial" w:hAnsi="Arial" w:cs="Arial"/>
                <w:sz w:val="20"/>
                <w:szCs w:val="20"/>
              </w:rPr>
              <w:t>.</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7 – </w:t>
            </w:r>
            <w:r w:rsidR="00A21B03">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8 – </w:t>
            </w:r>
            <w:r w:rsidR="00A21B03">
              <w:rPr>
                <w:rFonts w:ascii="Arial" w:hAnsi="Arial" w:cs="Arial"/>
                <w:sz w:val="20"/>
                <w:szCs w:val="20"/>
              </w:rPr>
              <w:t>None.</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9 – </w:t>
            </w:r>
            <w:r w:rsidR="00A21B03">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Task 10 – No</w:t>
            </w:r>
            <w:r w:rsidR="00A21B03">
              <w:rPr>
                <w:rFonts w:ascii="Arial" w:hAnsi="Arial" w:cs="Arial"/>
                <w:sz w:val="20"/>
                <w:szCs w:val="20"/>
              </w:rPr>
              <w:t>ne</w:t>
            </w:r>
            <w:r w:rsidRPr="00A4212B">
              <w:rPr>
                <w:rFonts w:ascii="Arial" w:hAnsi="Arial" w:cs="Arial"/>
                <w:sz w:val="20"/>
                <w:szCs w:val="20"/>
              </w:rPr>
              <w:t>.</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11 – </w:t>
            </w:r>
            <w:r w:rsidR="00463EA1">
              <w:rPr>
                <w:rFonts w:ascii="Arial" w:hAnsi="Arial" w:cs="Arial"/>
                <w:sz w:val="20"/>
                <w:szCs w:val="20"/>
              </w:rPr>
              <w:t xml:space="preserve">A web-conference will be held in </w:t>
            </w:r>
            <w:r w:rsidR="008E6C4D">
              <w:rPr>
                <w:rFonts w:ascii="Arial" w:hAnsi="Arial" w:cs="Arial"/>
                <w:sz w:val="20"/>
                <w:szCs w:val="20"/>
              </w:rPr>
              <w:t xml:space="preserve">September </w:t>
            </w:r>
            <w:r w:rsidR="00463EA1">
              <w:rPr>
                <w:rFonts w:ascii="Arial" w:hAnsi="Arial" w:cs="Arial"/>
                <w:sz w:val="20"/>
                <w:szCs w:val="20"/>
              </w:rPr>
              <w:t xml:space="preserve">with the TAC to review progress on </w:t>
            </w:r>
            <w:r w:rsidR="008E6C4D">
              <w:rPr>
                <w:rFonts w:ascii="Arial" w:hAnsi="Arial" w:cs="Arial"/>
                <w:sz w:val="20"/>
                <w:szCs w:val="20"/>
              </w:rPr>
              <w:t>T</w:t>
            </w:r>
            <w:r w:rsidR="00463EA1">
              <w:rPr>
                <w:rFonts w:ascii="Arial" w:hAnsi="Arial" w:cs="Arial"/>
                <w:sz w:val="20"/>
                <w:szCs w:val="20"/>
              </w:rPr>
              <w:t>asks</w:t>
            </w:r>
            <w:r w:rsidR="008E6C4D">
              <w:rPr>
                <w:rFonts w:ascii="Arial" w:hAnsi="Arial" w:cs="Arial"/>
                <w:sz w:val="20"/>
                <w:szCs w:val="20"/>
              </w:rPr>
              <w:t xml:space="preserve"> 5 and 6</w:t>
            </w:r>
            <w:r w:rsidR="00463EA1">
              <w:rPr>
                <w:rFonts w:ascii="Arial" w:hAnsi="Arial" w:cs="Arial"/>
                <w:sz w:val="20"/>
                <w:szCs w:val="20"/>
              </w:rPr>
              <w:t>.</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 xml:space="preserve">Contract – </w:t>
            </w:r>
            <w:r w:rsidR="00FD13FB">
              <w:rPr>
                <w:rFonts w:ascii="Arial" w:hAnsi="Arial" w:cs="Arial"/>
                <w:sz w:val="20"/>
                <w:szCs w:val="20"/>
              </w:rPr>
              <w:t xml:space="preserve">No changes </w:t>
            </w:r>
            <w:r w:rsidR="009F753A">
              <w:rPr>
                <w:rFonts w:ascii="Arial" w:hAnsi="Arial" w:cs="Arial"/>
                <w:sz w:val="20"/>
                <w:szCs w:val="20"/>
              </w:rPr>
              <w:t xml:space="preserve">are </w:t>
            </w:r>
            <w:r w:rsidR="00FD13FB">
              <w:rPr>
                <w:rFonts w:ascii="Arial" w:hAnsi="Arial" w:cs="Arial"/>
                <w:sz w:val="20"/>
                <w:szCs w:val="20"/>
              </w:rPr>
              <w:t>planned.</w:t>
            </w:r>
          </w:p>
          <w:p w:rsidR="00926E5F" w:rsidRPr="00360664" w:rsidRDefault="00926E5F" w:rsidP="00463EA1">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7F4964" w:rsidRDefault="007F4964" w:rsidP="00360664">
            <w:pPr>
              <w:spacing w:after="0" w:line="240" w:lineRule="auto"/>
              <w:rPr>
                <w:rFonts w:ascii="Arial" w:hAnsi="Arial" w:cs="Arial"/>
                <w:sz w:val="20"/>
                <w:szCs w:val="20"/>
              </w:rPr>
            </w:pPr>
          </w:p>
          <w:p w:rsidR="007F0BF1" w:rsidRDefault="00020513" w:rsidP="00360664">
            <w:pPr>
              <w:spacing w:after="0" w:line="240" w:lineRule="auto"/>
              <w:rPr>
                <w:rFonts w:ascii="Arial" w:hAnsi="Arial" w:cs="Arial"/>
                <w:sz w:val="20"/>
                <w:szCs w:val="20"/>
              </w:rPr>
            </w:pPr>
            <w:r>
              <w:rPr>
                <w:rFonts w:ascii="Arial" w:hAnsi="Arial" w:cs="Arial"/>
                <w:sz w:val="20"/>
                <w:szCs w:val="20"/>
              </w:rPr>
              <w:t xml:space="preserve">The research activities this quarter focused on the derivation and validation of simplified performance-based liquefaction triggering and lateral spread displacement models. These models are based on the Boulanger and Idriss (2012, 2014) model for liquefaction triggering, and the Youd et al. (2002) model for lateral spread displacement. </w:t>
            </w:r>
          </w:p>
          <w:p w:rsidR="00020513" w:rsidRDefault="00020513" w:rsidP="00360664">
            <w:pPr>
              <w:spacing w:after="0" w:line="240" w:lineRule="auto"/>
              <w:rPr>
                <w:rFonts w:ascii="Arial" w:hAnsi="Arial" w:cs="Arial"/>
                <w:sz w:val="20"/>
                <w:szCs w:val="20"/>
              </w:rPr>
            </w:pPr>
          </w:p>
          <w:p w:rsidR="0058363E" w:rsidRDefault="00020513" w:rsidP="00360664">
            <w:pPr>
              <w:spacing w:after="0" w:line="240" w:lineRule="auto"/>
              <w:rPr>
                <w:rFonts w:ascii="Arial" w:hAnsi="Arial" w:cs="Arial"/>
                <w:sz w:val="20"/>
                <w:szCs w:val="20"/>
              </w:rPr>
            </w:pPr>
            <w:r>
              <w:rPr>
                <w:rFonts w:ascii="Arial" w:hAnsi="Arial" w:cs="Arial"/>
                <w:sz w:val="20"/>
                <w:szCs w:val="20"/>
              </w:rPr>
              <w:t xml:space="preserve">The simplified performance-based approach is inspired by the map-based approach presented by Mayfield, Kramer, and Huang (2010) for liquefaction triggering, which was based on the Cetin et al. (2004) liquefaction triggering model. This approach mimics the same approach used by practicing engineers to develop probabilistic ground motions without having to perform a site-specific seismic hazard analysis. With the simplified seismic hazard approach, researchers assume generalized site conditions </w:t>
            </w:r>
            <w:r w:rsidR="000D6962">
              <w:rPr>
                <w:rFonts w:ascii="Arial" w:hAnsi="Arial" w:cs="Arial"/>
                <w:sz w:val="20"/>
                <w:szCs w:val="20"/>
              </w:rPr>
              <w:t xml:space="preserve">(i.e., rock with an average shear wave velocity of 760 meters/sec) </w:t>
            </w:r>
            <w:r>
              <w:rPr>
                <w:rFonts w:ascii="Arial" w:hAnsi="Arial" w:cs="Arial"/>
                <w:sz w:val="20"/>
                <w:szCs w:val="20"/>
              </w:rPr>
              <w:t xml:space="preserve">to perform probabilistic seismic hazard assessments across a grid of geographic points. </w:t>
            </w:r>
            <w:r w:rsidR="000D6962">
              <w:rPr>
                <w:rFonts w:ascii="Arial" w:hAnsi="Arial" w:cs="Arial"/>
                <w:sz w:val="20"/>
                <w:szCs w:val="20"/>
              </w:rPr>
              <w:t>After specifying a hazard level or return period (e.g., 7% probability of exceedance in 75 years), ground motion estimates corresponding to that specified hazard level are identified, and contours are developed for map development. Engineers can then apply code-specified s</w:t>
            </w:r>
            <w:r>
              <w:rPr>
                <w:rFonts w:ascii="Arial" w:hAnsi="Arial" w:cs="Arial"/>
                <w:sz w:val="20"/>
                <w:szCs w:val="20"/>
              </w:rPr>
              <w:t xml:space="preserve">ite factors </w:t>
            </w:r>
            <w:r w:rsidR="000D6962">
              <w:rPr>
                <w:rFonts w:ascii="Arial" w:hAnsi="Arial" w:cs="Arial"/>
                <w:sz w:val="20"/>
                <w:szCs w:val="20"/>
              </w:rPr>
              <w:t xml:space="preserve">based on site response research to the generalized mapped probabilistic ground motion estimates for rock to correct the ground motions for local site conditions (i.e., soil amplification). Similarly, this research assumes a generalized soil layer that is evaluated for probabilistic liquefaction triggering (Kramer and Mayfield 2007; Franke et al. 2014) and for probabilistic lateral spread displacement (Franke and Kramer 2014). By evaluating these liquefaction hazards for the generalized soil profile across a grid of geographic points, liquefaction loading and lateral spread </w:t>
            </w:r>
            <w:r w:rsidR="0058363E">
              <w:rPr>
                <w:rFonts w:ascii="Arial" w:hAnsi="Arial" w:cs="Arial"/>
                <w:sz w:val="20"/>
                <w:szCs w:val="20"/>
              </w:rPr>
              <w:t xml:space="preserve">reference maps can be developed that target specific hazard levels or return periods. Mapped values of liquefaction loading (termed </w:t>
            </w:r>
            <w:r w:rsidR="0058363E" w:rsidRPr="00FC31CD">
              <w:rPr>
                <w:rFonts w:ascii="Arial" w:hAnsi="Arial" w:cs="Arial"/>
                <w:position w:val="-14"/>
                <w:sz w:val="20"/>
                <w:szCs w:val="20"/>
              </w:rPr>
              <w:object w:dxaOrig="11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5pt;height:19.7pt" o:ole="">
                  <v:imagedata r:id="rId8" o:title=""/>
                </v:shape>
                <o:OLEObject Type="Embed" ProgID="Equation.DSMT4" ShapeID="_x0000_i1025" DrawAspect="Content" ObjectID="_1468073421" r:id="rId9"/>
              </w:object>
            </w:r>
            <w:r w:rsidR="0058363E">
              <w:rPr>
                <w:rFonts w:ascii="Arial" w:hAnsi="Arial" w:cs="Arial"/>
                <w:sz w:val="20"/>
                <w:szCs w:val="20"/>
              </w:rPr>
              <w:t xml:space="preserve">, or reference cyclic stress ratio in units of percent) and reference lateral spread </w:t>
            </w:r>
            <w:r w:rsidR="0058363E">
              <w:rPr>
                <w:rFonts w:ascii="Arial" w:hAnsi="Arial" w:cs="Arial"/>
                <w:sz w:val="20"/>
                <w:szCs w:val="20"/>
              </w:rPr>
              <w:lastRenderedPageBreak/>
              <w:t xml:space="preserve">displacements (termed </w:t>
            </w:r>
            <w:r w:rsidR="0058363E" w:rsidRPr="00FC31CD">
              <w:rPr>
                <w:rFonts w:ascii="Arial" w:hAnsi="Arial" w:cs="Arial"/>
                <w:position w:val="-14"/>
                <w:sz w:val="20"/>
                <w:szCs w:val="20"/>
              </w:rPr>
              <w:object w:dxaOrig="1080" w:dyaOrig="440">
                <v:shape id="_x0000_i1026" type="#_x0000_t75" style="width:54.35pt;height:21.75pt" o:ole="">
                  <v:imagedata r:id="rId10" o:title=""/>
                </v:shape>
                <o:OLEObject Type="Embed" ProgID="Equation.DSMT4" ShapeID="_x0000_i1026" DrawAspect="Content" ObjectID="_1468073422" r:id="rId11"/>
              </w:object>
            </w:r>
            <w:r w:rsidR="0058363E">
              <w:rPr>
                <w:rFonts w:ascii="Arial" w:hAnsi="Arial" w:cs="Arial"/>
                <w:sz w:val="20"/>
                <w:szCs w:val="20"/>
              </w:rPr>
              <w:t xml:space="preserve">, or reference displacement in log-transformed units of meters) can be corrected for site-specific soil properties specified by the engineer using derived correction equations to closely approximate the results of a full performance-based assessment. </w:t>
            </w:r>
          </w:p>
          <w:p w:rsidR="0058363E" w:rsidRDefault="0058363E" w:rsidP="00360664">
            <w:pPr>
              <w:spacing w:after="0" w:line="240" w:lineRule="auto"/>
              <w:rPr>
                <w:rFonts w:ascii="Arial" w:hAnsi="Arial" w:cs="Arial"/>
                <w:sz w:val="20"/>
                <w:szCs w:val="20"/>
              </w:rPr>
            </w:pPr>
          </w:p>
          <w:p w:rsidR="008860BE" w:rsidRDefault="0058363E" w:rsidP="00360664">
            <w:pPr>
              <w:spacing w:after="0" w:line="240" w:lineRule="auto"/>
              <w:rPr>
                <w:rFonts w:ascii="Arial" w:hAnsi="Arial" w:cs="Arial"/>
                <w:sz w:val="20"/>
                <w:szCs w:val="20"/>
              </w:rPr>
            </w:pPr>
            <w:r>
              <w:rPr>
                <w:rFonts w:ascii="Arial" w:hAnsi="Arial" w:cs="Arial"/>
                <w:sz w:val="20"/>
                <w:szCs w:val="20"/>
              </w:rPr>
              <w:t xml:space="preserve">The research activities this quarter focused on development and validation of the simplified performance-based liquefaction triggering and lateral spread displacement procedures. The simplified procedures for liquefaction triggering using the Boulanger and </w:t>
            </w:r>
            <w:proofErr w:type="spellStart"/>
            <w:r>
              <w:rPr>
                <w:rFonts w:ascii="Arial" w:hAnsi="Arial" w:cs="Arial"/>
                <w:sz w:val="20"/>
                <w:szCs w:val="20"/>
              </w:rPr>
              <w:t>Idriss</w:t>
            </w:r>
            <w:proofErr w:type="spellEnd"/>
            <w:r>
              <w:rPr>
                <w:rFonts w:ascii="Arial" w:hAnsi="Arial" w:cs="Arial"/>
                <w:sz w:val="20"/>
                <w:szCs w:val="20"/>
              </w:rPr>
              <w:t xml:space="preserve"> (2012, 2014) model and for lateral spread displacement using the Youd et al. (2002) model were successfully developed, and correction equations for site-specific soil properties were </w:t>
            </w:r>
            <w:r w:rsidR="006168C2">
              <w:rPr>
                <w:rFonts w:ascii="Arial" w:hAnsi="Arial" w:cs="Arial"/>
                <w:sz w:val="20"/>
                <w:szCs w:val="20"/>
              </w:rPr>
              <w:t>mathematically derived</w:t>
            </w:r>
            <w:r>
              <w:rPr>
                <w:rFonts w:ascii="Arial" w:hAnsi="Arial" w:cs="Arial"/>
                <w:sz w:val="20"/>
                <w:szCs w:val="20"/>
              </w:rPr>
              <w:t xml:space="preserve">. Validation activities compared the newly-developed simplified performance-based procedures against full performance-based procedures at ten different cities in the US, representing a wide range of seismic environments. </w:t>
            </w:r>
            <w:r w:rsidR="008860BE">
              <w:rPr>
                <w:rFonts w:ascii="Arial" w:hAnsi="Arial" w:cs="Arial"/>
                <w:sz w:val="20"/>
                <w:szCs w:val="20"/>
              </w:rPr>
              <w:t xml:space="preserve">Results from these validation and comparison activities are presented below in Figures 1 and 2. Figure 1 presents the comparisons between the calculated standard penetration </w:t>
            </w:r>
            <w:proofErr w:type="gramStart"/>
            <w:r w:rsidR="008860BE">
              <w:rPr>
                <w:rFonts w:ascii="Arial" w:hAnsi="Arial" w:cs="Arial"/>
                <w:sz w:val="20"/>
                <w:szCs w:val="20"/>
              </w:rPr>
              <w:t>test</w:t>
            </w:r>
            <w:proofErr w:type="gramEnd"/>
            <w:r w:rsidR="008860BE">
              <w:rPr>
                <w:rFonts w:ascii="Arial" w:hAnsi="Arial" w:cs="Arial"/>
                <w:sz w:val="20"/>
                <w:szCs w:val="20"/>
              </w:rPr>
              <w:t xml:space="preserve"> (SPT) resistance required to resist liquefaction triggering, </w:t>
            </w:r>
            <w:r w:rsidR="008860BE" w:rsidRPr="00FC31CD">
              <w:rPr>
                <w:rFonts w:ascii="Arial" w:hAnsi="Arial" w:cs="Arial"/>
                <w:position w:val="-14"/>
                <w:sz w:val="20"/>
                <w:szCs w:val="20"/>
              </w:rPr>
              <w:object w:dxaOrig="460" w:dyaOrig="380">
                <v:shape id="_x0000_i1027" type="#_x0000_t75" style="width:23.1pt;height:19pt" o:ole="">
                  <v:imagedata r:id="rId12" o:title=""/>
                </v:shape>
                <o:OLEObject Type="Embed" ProgID="Equation.DSMT4" ShapeID="_x0000_i1027" DrawAspect="Content" ObjectID="_1468073423" r:id="rId13"/>
              </w:object>
            </w:r>
            <w:r w:rsidR="008860BE">
              <w:rPr>
                <w:rFonts w:ascii="Arial" w:hAnsi="Arial" w:cs="Arial"/>
                <w:sz w:val="20"/>
                <w:szCs w:val="20"/>
              </w:rPr>
              <w:t xml:space="preserve"> for the hypothetical s</w:t>
            </w:r>
            <w:r w:rsidR="006168C2">
              <w:rPr>
                <w:rFonts w:ascii="Arial" w:hAnsi="Arial" w:cs="Arial"/>
                <w:sz w:val="20"/>
                <w:szCs w:val="20"/>
              </w:rPr>
              <w:t>oil layers</w:t>
            </w:r>
            <w:r w:rsidR="008860BE">
              <w:rPr>
                <w:rFonts w:ascii="Arial" w:hAnsi="Arial" w:cs="Arial"/>
                <w:sz w:val="20"/>
                <w:szCs w:val="20"/>
              </w:rPr>
              <w:t xml:space="preserve"> used in the validation analysis</w:t>
            </w:r>
            <w:r w:rsidR="006168C2">
              <w:rPr>
                <w:rFonts w:ascii="Arial" w:hAnsi="Arial" w:cs="Arial"/>
                <w:sz w:val="20"/>
                <w:szCs w:val="20"/>
              </w:rPr>
              <w:t xml:space="preserve"> at the ten cities</w:t>
            </w:r>
            <w:r w:rsidR="008860BE">
              <w:rPr>
                <w:rFonts w:ascii="Arial" w:hAnsi="Arial" w:cs="Arial"/>
                <w:sz w:val="20"/>
                <w:szCs w:val="20"/>
              </w:rPr>
              <w:t>. Results from the simplified performance-based procedure are generally within ±3.4% of the full performance-based procedure</w:t>
            </w:r>
            <w:r w:rsidR="006168C2">
              <w:rPr>
                <w:rFonts w:ascii="Arial" w:hAnsi="Arial" w:cs="Arial"/>
                <w:sz w:val="20"/>
                <w:szCs w:val="20"/>
              </w:rPr>
              <w:t>,</w:t>
            </w:r>
            <w:r w:rsidR="008860BE">
              <w:rPr>
                <w:rFonts w:ascii="Arial" w:hAnsi="Arial" w:cs="Arial"/>
                <w:sz w:val="20"/>
                <w:szCs w:val="20"/>
              </w:rPr>
              <w:t xml:space="preserve"> on average. Figure 2 pr</w:t>
            </w:r>
            <w:r w:rsidR="006168C2">
              <w:rPr>
                <w:rFonts w:ascii="Arial" w:hAnsi="Arial" w:cs="Arial"/>
                <w:sz w:val="20"/>
                <w:szCs w:val="20"/>
              </w:rPr>
              <w:t xml:space="preserve">esents that computed displacement (m) comparisons between the simplified performance-based procedure and the full performance-based procedure. Results from the simplified performance-based procedure are generally within ±2.9% of the full performance-based procedure, on average. </w:t>
            </w:r>
            <w:r w:rsidR="008860BE">
              <w:rPr>
                <w:rFonts w:ascii="Arial" w:hAnsi="Arial" w:cs="Arial"/>
                <w:sz w:val="20"/>
                <w:szCs w:val="20"/>
              </w:rPr>
              <w:t xml:space="preserve">The results presented in these figures suggest that the new simplified performance-based procedures closely approximate the full performance-based procedures at the three return periods that were evaluated: 475, 1033, and 2475 years. </w:t>
            </w:r>
          </w:p>
          <w:p w:rsidR="008860BE" w:rsidRDefault="008860BE" w:rsidP="00360664">
            <w:pPr>
              <w:spacing w:after="0" w:line="240" w:lineRule="auto"/>
              <w:rPr>
                <w:rFonts w:ascii="Arial" w:hAnsi="Arial" w:cs="Arial"/>
                <w:sz w:val="20"/>
                <w:szCs w:val="20"/>
              </w:rPr>
            </w:pPr>
          </w:p>
          <w:p w:rsidR="00020513" w:rsidRDefault="008860BE">
            <w:pPr>
              <w:spacing w:after="0" w:line="240" w:lineRule="auto"/>
              <w:rPr>
                <w:rFonts w:ascii="Arial" w:hAnsi="Arial" w:cs="Arial"/>
                <w:sz w:val="20"/>
                <w:szCs w:val="20"/>
              </w:rPr>
            </w:pPr>
            <w:r w:rsidRPr="00FC31CD">
              <w:rPr>
                <w:rFonts w:ascii="Arial" w:hAnsi="Arial" w:cs="Arial"/>
                <w:noProof/>
                <w:sz w:val="20"/>
                <w:szCs w:val="20"/>
              </w:rPr>
              <w:drawing>
                <wp:inline distT="0" distB="0" distL="0" distR="0" wp14:anchorId="715B3357" wp14:editId="52CD87F7">
                  <wp:extent cx="4907915" cy="43834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7915" cy="4383405"/>
                          </a:xfrm>
                          <a:prstGeom prst="rect">
                            <a:avLst/>
                          </a:prstGeom>
                          <a:noFill/>
                        </pic:spPr>
                      </pic:pic>
                    </a:graphicData>
                  </a:graphic>
                </wp:inline>
              </w:drawing>
            </w:r>
          </w:p>
          <w:p w:rsidR="006168C2" w:rsidRPr="00FC31CD" w:rsidRDefault="006168C2">
            <w:pPr>
              <w:spacing w:after="0" w:line="240" w:lineRule="auto"/>
              <w:rPr>
                <w:rFonts w:ascii="Arial" w:hAnsi="Arial" w:cs="Arial"/>
                <w:b/>
                <w:sz w:val="20"/>
                <w:szCs w:val="20"/>
              </w:rPr>
            </w:pPr>
            <w:r>
              <w:rPr>
                <w:rFonts w:ascii="Arial" w:hAnsi="Arial" w:cs="Arial"/>
                <w:b/>
                <w:sz w:val="20"/>
                <w:szCs w:val="20"/>
              </w:rPr>
              <w:t>Figure 1.  Comparisons of computed SPT resistance required to resist liquefaction triggering for the newly-developed simplified performance-based and the full performance-based liquefaction procedures at return periods of 475, 1033, and 2475 years</w:t>
            </w:r>
          </w:p>
          <w:p w:rsidR="007F0BF1" w:rsidRDefault="007F0BF1" w:rsidP="00360664">
            <w:pPr>
              <w:spacing w:after="0" w:line="240" w:lineRule="auto"/>
              <w:rPr>
                <w:rFonts w:ascii="Arial" w:hAnsi="Arial" w:cs="Arial"/>
                <w:sz w:val="20"/>
                <w:szCs w:val="20"/>
              </w:rPr>
            </w:pPr>
          </w:p>
          <w:p w:rsidR="006168C2" w:rsidRDefault="008860BE" w:rsidP="00360664">
            <w:pPr>
              <w:spacing w:after="0" w:line="240" w:lineRule="auto"/>
              <w:rPr>
                <w:rFonts w:ascii="Arial" w:hAnsi="Arial" w:cs="Arial"/>
                <w:sz w:val="20"/>
                <w:szCs w:val="20"/>
              </w:rPr>
            </w:pPr>
            <w:r w:rsidRPr="00FC31CD">
              <w:rPr>
                <w:rFonts w:ascii="Arial" w:hAnsi="Arial" w:cs="Arial"/>
                <w:noProof/>
                <w:sz w:val="20"/>
                <w:szCs w:val="20"/>
              </w:rPr>
              <w:lastRenderedPageBreak/>
              <w:drawing>
                <wp:inline distT="0" distB="0" distL="0" distR="0" wp14:anchorId="3CBEE016" wp14:editId="01A783F6">
                  <wp:extent cx="4883150" cy="41516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3150" cy="4151630"/>
                          </a:xfrm>
                          <a:prstGeom prst="rect">
                            <a:avLst/>
                          </a:prstGeom>
                          <a:noFill/>
                        </pic:spPr>
                      </pic:pic>
                    </a:graphicData>
                  </a:graphic>
                </wp:inline>
              </w:drawing>
            </w:r>
          </w:p>
          <w:p w:rsidR="006168C2" w:rsidRPr="00F03E1A" w:rsidRDefault="006168C2" w:rsidP="006168C2">
            <w:pPr>
              <w:spacing w:after="0" w:line="240" w:lineRule="auto"/>
              <w:rPr>
                <w:rFonts w:ascii="Arial" w:hAnsi="Arial" w:cs="Arial"/>
                <w:b/>
                <w:sz w:val="20"/>
                <w:szCs w:val="20"/>
              </w:rPr>
            </w:pPr>
            <w:r>
              <w:rPr>
                <w:rFonts w:ascii="Arial" w:hAnsi="Arial" w:cs="Arial"/>
                <w:b/>
                <w:sz w:val="20"/>
                <w:szCs w:val="20"/>
              </w:rPr>
              <w:t>Figure 2.  Comparisons of computed lateral spread displacements for the newly-developed simplified performance-based and the full performance-based lateral spread displacement procedures at return periods of 475, 1033, and 2475 years</w:t>
            </w:r>
          </w:p>
          <w:p w:rsidR="000C209F" w:rsidRDefault="000C209F" w:rsidP="00360664">
            <w:pPr>
              <w:spacing w:after="0" w:line="240" w:lineRule="auto"/>
              <w:rPr>
                <w:rFonts w:ascii="Arial" w:hAnsi="Arial" w:cs="Arial"/>
                <w:sz w:val="20"/>
                <w:szCs w:val="20"/>
              </w:rPr>
            </w:pPr>
          </w:p>
          <w:p w:rsidR="000C209F" w:rsidRDefault="000C209F" w:rsidP="00360664">
            <w:pPr>
              <w:spacing w:after="0" w:line="240" w:lineRule="auto"/>
              <w:rPr>
                <w:rFonts w:ascii="Arial" w:hAnsi="Arial" w:cs="Arial"/>
                <w:b/>
                <w:sz w:val="20"/>
                <w:szCs w:val="20"/>
              </w:rPr>
            </w:pPr>
          </w:p>
          <w:p w:rsidR="00BA08C8" w:rsidRPr="00360664" w:rsidRDefault="00BA08C8"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6168C2" w:rsidRPr="00360664" w:rsidRDefault="006168C2" w:rsidP="00360664">
            <w:pPr>
              <w:spacing w:after="0" w:line="240" w:lineRule="auto"/>
              <w:rPr>
                <w:rFonts w:ascii="Arial" w:hAnsi="Arial" w:cs="Arial"/>
                <w:sz w:val="20"/>
                <w:szCs w:val="20"/>
              </w:rPr>
            </w:pPr>
            <w:r>
              <w:rPr>
                <w:rFonts w:ascii="Arial" w:hAnsi="Arial" w:cs="Arial"/>
                <w:sz w:val="20"/>
                <w:szCs w:val="20"/>
              </w:rPr>
              <w:t>With the simplified performance-based liquefaction triggering and lateral spread displacement procedures and the derived correction equations, engineers could immediately implement these</w:t>
            </w:r>
            <w:r w:rsidR="00AA72F5">
              <w:rPr>
                <w:rFonts w:ascii="Arial" w:hAnsi="Arial" w:cs="Arial"/>
                <w:sz w:val="20"/>
                <w:szCs w:val="20"/>
              </w:rPr>
              <w:t xml:space="preserve"> procedures into practice with liquefaction loading and lateral spread reference maps for their site(s) of interest. Future tasks in this project will develop such maps for the states of Utah, Idaho, Montana, Alaska, South Carolina, and Connecticut, as well as a spreadsheet to implement the correction equations. Without these maps, it will be impossible to implement the simplified performance-based procedure in engineering practice. </w:t>
            </w:r>
            <w:r>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09B" w:rsidRDefault="0091609B" w:rsidP="00106C83">
      <w:pPr>
        <w:spacing w:after="0" w:line="240" w:lineRule="auto"/>
      </w:pPr>
      <w:r>
        <w:separator/>
      </w:r>
    </w:p>
  </w:endnote>
  <w:endnote w:type="continuationSeparator" w:id="0">
    <w:p w:rsidR="0091609B" w:rsidRDefault="0091609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1A3" w:rsidRDefault="002A61A3" w:rsidP="00E371D1">
    <w:pPr>
      <w:pStyle w:val="Footer"/>
      <w:ind w:left="-810"/>
    </w:pPr>
    <w:r>
      <w:t>TPF Program Standard Quarterly Reporting Format – 7/2011</w:t>
    </w:r>
  </w:p>
  <w:p w:rsidR="002A61A3" w:rsidRDefault="002A61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09B" w:rsidRDefault="0091609B" w:rsidP="00106C83">
      <w:pPr>
        <w:spacing w:after="0" w:line="240" w:lineRule="auto"/>
      </w:pPr>
      <w:r>
        <w:separator/>
      </w:r>
    </w:p>
  </w:footnote>
  <w:footnote w:type="continuationSeparator" w:id="0">
    <w:p w:rsidR="0091609B" w:rsidRDefault="0091609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335CC"/>
    <w:rsid w:val="000342EB"/>
    <w:rsid w:val="00035DAD"/>
    <w:rsid w:val="00037FBC"/>
    <w:rsid w:val="00040795"/>
    <w:rsid w:val="000452C8"/>
    <w:rsid w:val="00046DCA"/>
    <w:rsid w:val="00060908"/>
    <w:rsid w:val="00060DDA"/>
    <w:rsid w:val="00061A91"/>
    <w:rsid w:val="000632E0"/>
    <w:rsid w:val="00064DBC"/>
    <w:rsid w:val="00071797"/>
    <w:rsid w:val="000736BB"/>
    <w:rsid w:val="0008172C"/>
    <w:rsid w:val="00087DC0"/>
    <w:rsid w:val="000A0D23"/>
    <w:rsid w:val="000A7C22"/>
    <w:rsid w:val="000B665A"/>
    <w:rsid w:val="000C209F"/>
    <w:rsid w:val="000C4AC9"/>
    <w:rsid w:val="000C65A5"/>
    <w:rsid w:val="000D1273"/>
    <w:rsid w:val="000D6962"/>
    <w:rsid w:val="000E112D"/>
    <w:rsid w:val="000E1C3A"/>
    <w:rsid w:val="000F489B"/>
    <w:rsid w:val="000F752B"/>
    <w:rsid w:val="000F7DCA"/>
    <w:rsid w:val="00103835"/>
    <w:rsid w:val="00106C83"/>
    <w:rsid w:val="001147C8"/>
    <w:rsid w:val="00121037"/>
    <w:rsid w:val="00122DE0"/>
    <w:rsid w:val="001336E7"/>
    <w:rsid w:val="001428DF"/>
    <w:rsid w:val="001429F4"/>
    <w:rsid w:val="001536F4"/>
    <w:rsid w:val="001547D0"/>
    <w:rsid w:val="00161153"/>
    <w:rsid w:val="00164E36"/>
    <w:rsid w:val="00165AF3"/>
    <w:rsid w:val="0018433C"/>
    <w:rsid w:val="00186107"/>
    <w:rsid w:val="00186B05"/>
    <w:rsid w:val="00190459"/>
    <w:rsid w:val="00191F1F"/>
    <w:rsid w:val="00194CD6"/>
    <w:rsid w:val="00197E96"/>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7414"/>
    <w:rsid w:val="00202788"/>
    <w:rsid w:val="002028BE"/>
    <w:rsid w:val="00205F86"/>
    <w:rsid w:val="0021446D"/>
    <w:rsid w:val="0022101B"/>
    <w:rsid w:val="00221214"/>
    <w:rsid w:val="0023315F"/>
    <w:rsid w:val="00236E81"/>
    <w:rsid w:val="00237469"/>
    <w:rsid w:val="002416F6"/>
    <w:rsid w:val="00243FCC"/>
    <w:rsid w:val="002442E9"/>
    <w:rsid w:val="00245D5B"/>
    <w:rsid w:val="0025100B"/>
    <w:rsid w:val="002661B7"/>
    <w:rsid w:val="00271658"/>
    <w:rsid w:val="00272964"/>
    <w:rsid w:val="002742C3"/>
    <w:rsid w:val="002765D0"/>
    <w:rsid w:val="00281C9D"/>
    <w:rsid w:val="00285DA3"/>
    <w:rsid w:val="00291F1C"/>
    <w:rsid w:val="0029327C"/>
    <w:rsid w:val="002936D0"/>
    <w:rsid w:val="00293FD8"/>
    <w:rsid w:val="002A0E0A"/>
    <w:rsid w:val="002A61A3"/>
    <w:rsid w:val="002A79C8"/>
    <w:rsid w:val="002B1447"/>
    <w:rsid w:val="002B56F3"/>
    <w:rsid w:val="002B708D"/>
    <w:rsid w:val="002B7515"/>
    <w:rsid w:val="002C2F72"/>
    <w:rsid w:val="002C4321"/>
    <w:rsid w:val="002C6E75"/>
    <w:rsid w:val="002D353E"/>
    <w:rsid w:val="002D60CF"/>
    <w:rsid w:val="002E5C07"/>
    <w:rsid w:val="002F3D8F"/>
    <w:rsid w:val="002F44FD"/>
    <w:rsid w:val="002F66FD"/>
    <w:rsid w:val="00303BFD"/>
    <w:rsid w:val="003133E9"/>
    <w:rsid w:val="0031390E"/>
    <w:rsid w:val="00315011"/>
    <w:rsid w:val="00315979"/>
    <w:rsid w:val="00317414"/>
    <w:rsid w:val="003227F0"/>
    <w:rsid w:val="00327AC3"/>
    <w:rsid w:val="00332429"/>
    <w:rsid w:val="003372CD"/>
    <w:rsid w:val="00337E98"/>
    <w:rsid w:val="00340B50"/>
    <w:rsid w:val="00341D76"/>
    <w:rsid w:val="00346691"/>
    <w:rsid w:val="00360664"/>
    <w:rsid w:val="00362F45"/>
    <w:rsid w:val="003630A0"/>
    <w:rsid w:val="003634EC"/>
    <w:rsid w:val="00366877"/>
    <w:rsid w:val="00374D25"/>
    <w:rsid w:val="00382110"/>
    <w:rsid w:val="0038529F"/>
    <w:rsid w:val="00386FBE"/>
    <w:rsid w:val="0038705A"/>
    <w:rsid w:val="00395A48"/>
    <w:rsid w:val="003B3781"/>
    <w:rsid w:val="003B7379"/>
    <w:rsid w:val="003C239E"/>
    <w:rsid w:val="003C2CCC"/>
    <w:rsid w:val="003D1430"/>
    <w:rsid w:val="003D6A0B"/>
    <w:rsid w:val="003E0A8C"/>
    <w:rsid w:val="003E43F0"/>
    <w:rsid w:val="003E4DE4"/>
    <w:rsid w:val="003E5DCB"/>
    <w:rsid w:val="003F462A"/>
    <w:rsid w:val="00401351"/>
    <w:rsid w:val="00406380"/>
    <w:rsid w:val="00407984"/>
    <w:rsid w:val="004144E6"/>
    <w:rsid w:val="004156B2"/>
    <w:rsid w:val="00432286"/>
    <w:rsid w:val="0043487E"/>
    <w:rsid w:val="00437734"/>
    <w:rsid w:val="004377DD"/>
    <w:rsid w:val="00437E79"/>
    <w:rsid w:val="004519D7"/>
    <w:rsid w:val="0045218A"/>
    <w:rsid w:val="00452515"/>
    <w:rsid w:val="00455A67"/>
    <w:rsid w:val="0046217B"/>
    <w:rsid w:val="00463EA1"/>
    <w:rsid w:val="00476BA3"/>
    <w:rsid w:val="004828D8"/>
    <w:rsid w:val="004846CC"/>
    <w:rsid w:val="004913CE"/>
    <w:rsid w:val="00492C17"/>
    <w:rsid w:val="004974E1"/>
    <w:rsid w:val="004B3E34"/>
    <w:rsid w:val="004D5EEE"/>
    <w:rsid w:val="004D6151"/>
    <w:rsid w:val="004D6DF5"/>
    <w:rsid w:val="004E14DC"/>
    <w:rsid w:val="004E4A6C"/>
    <w:rsid w:val="004E771A"/>
    <w:rsid w:val="004F586D"/>
    <w:rsid w:val="005030A0"/>
    <w:rsid w:val="00504F10"/>
    <w:rsid w:val="005077FE"/>
    <w:rsid w:val="00511F24"/>
    <w:rsid w:val="00511FD0"/>
    <w:rsid w:val="00512783"/>
    <w:rsid w:val="005130F7"/>
    <w:rsid w:val="005135ED"/>
    <w:rsid w:val="00517E74"/>
    <w:rsid w:val="00520070"/>
    <w:rsid w:val="00526BB3"/>
    <w:rsid w:val="00532264"/>
    <w:rsid w:val="00534F97"/>
    <w:rsid w:val="00535598"/>
    <w:rsid w:val="00535AE5"/>
    <w:rsid w:val="00547870"/>
    <w:rsid w:val="00547EE3"/>
    <w:rsid w:val="0055178A"/>
    <w:rsid w:val="00551D8A"/>
    <w:rsid w:val="00567605"/>
    <w:rsid w:val="0057047E"/>
    <w:rsid w:val="00574EA0"/>
    <w:rsid w:val="00577067"/>
    <w:rsid w:val="00581B36"/>
    <w:rsid w:val="0058363E"/>
    <w:rsid w:val="00583E8E"/>
    <w:rsid w:val="00591AF5"/>
    <w:rsid w:val="0059636D"/>
    <w:rsid w:val="005A16F8"/>
    <w:rsid w:val="005A4E82"/>
    <w:rsid w:val="005B4511"/>
    <w:rsid w:val="005B4745"/>
    <w:rsid w:val="005C75FE"/>
    <w:rsid w:val="005D25B4"/>
    <w:rsid w:val="005D3419"/>
    <w:rsid w:val="005D567C"/>
    <w:rsid w:val="00601EBD"/>
    <w:rsid w:val="00602A2F"/>
    <w:rsid w:val="00603F07"/>
    <w:rsid w:val="006073E2"/>
    <w:rsid w:val="00611C50"/>
    <w:rsid w:val="006168C2"/>
    <w:rsid w:val="00623262"/>
    <w:rsid w:val="00631D3F"/>
    <w:rsid w:val="00640344"/>
    <w:rsid w:val="00641054"/>
    <w:rsid w:val="00657540"/>
    <w:rsid w:val="00670A8E"/>
    <w:rsid w:val="0068036E"/>
    <w:rsid w:val="00682C5E"/>
    <w:rsid w:val="00687192"/>
    <w:rsid w:val="006A7AC1"/>
    <w:rsid w:val="006B1998"/>
    <w:rsid w:val="006B7448"/>
    <w:rsid w:val="006B7F63"/>
    <w:rsid w:val="006C08D2"/>
    <w:rsid w:val="006C1783"/>
    <w:rsid w:val="006C2DA5"/>
    <w:rsid w:val="006C378D"/>
    <w:rsid w:val="006C438C"/>
    <w:rsid w:val="006C4E6B"/>
    <w:rsid w:val="006C50DB"/>
    <w:rsid w:val="006C7F35"/>
    <w:rsid w:val="006D6160"/>
    <w:rsid w:val="006E1297"/>
    <w:rsid w:val="006F1879"/>
    <w:rsid w:val="006F669A"/>
    <w:rsid w:val="006F6A29"/>
    <w:rsid w:val="00707493"/>
    <w:rsid w:val="00715C3B"/>
    <w:rsid w:val="00732659"/>
    <w:rsid w:val="00733FC5"/>
    <w:rsid w:val="00741D56"/>
    <w:rsid w:val="00743C01"/>
    <w:rsid w:val="007449D3"/>
    <w:rsid w:val="00754076"/>
    <w:rsid w:val="00755D8B"/>
    <w:rsid w:val="00756D70"/>
    <w:rsid w:val="007604EA"/>
    <w:rsid w:val="00763DDA"/>
    <w:rsid w:val="00770FD2"/>
    <w:rsid w:val="00777B5F"/>
    <w:rsid w:val="00790C4A"/>
    <w:rsid w:val="0079114B"/>
    <w:rsid w:val="007A4135"/>
    <w:rsid w:val="007B3CBC"/>
    <w:rsid w:val="007B5EFC"/>
    <w:rsid w:val="007C3363"/>
    <w:rsid w:val="007C480F"/>
    <w:rsid w:val="007D1439"/>
    <w:rsid w:val="007D18E0"/>
    <w:rsid w:val="007D27BC"/>
    <w:rsid w:val="007D5CA9"/>
    <w:rsid w:val="007D695F"/>
    <w:rsid w:val="007E5BD2"/>
    <w:rsid w:val="007F0353"/>
    <w:rsid w:val="007F0BF1"/>
    <w:rsid w:val="007F4964"/>
    <w:rsid w:val="00800E72"/>
    <w:rsid w:val="00803CB4"/>
    <w:rsid w:val="008137D5"/>
    <w:rsid w:val="00814F16"/>
    <w:rsid w:val="008202B0"/>
    <w:rsid w:val="00821F4B"/>
    <w:rsid w:val="00822FE0"/>
    <w:rsid w:val="00826193"/>
    <w:rsid w:val="008273D7"/>
    <w:rsid w:val="00833757"/>
    <w:rsid w:val="00833D43"/>
    <w:rsid w:val="008451C1"/>
    <w:rsid w:val="00845B74"/>
    <w:rsid w:val="00851FDC"/>
    <w:rsid w:val="00863AD7"/>
    <w:rsid w:val="00866277"/>
    <w:rsid w:val="00867CFC"/>
    <w:rsid w:val="00872F18"/>
    <w:rsid w:val="008730EB"/>
    <w:rsid w:val="00874EF7"/>
    <w:rsid w:val="00883F30"/>
    <w:rsid w:val="008860BE"/>
    <w:rsid w:val="008A6693"/>
    <w:rsid w:val="008B3332"/>
    <w:rsid w:val="008B449D"/>
    <w:rsid w:val="008C22B3"/>
    <w:rsid w:val="008D06D3"/>
    <w:rsid w:val="008E57BB"/>
    <w:rsid w:val="008E6C4D"/>
    <w:rsid w:val="008E75C5"/>
    <w:rsid w:val="008E7F29"/>
    <w:rsid w:val="008F5A12"/>
    <w:rsid w:val="008F7F87"/>
    <w:rsid w:val="00900981"/>
    <w:rsid w:val="0091609B"/>
    <w:rsid w:val="0092091E"/>
    <w:rsid w:val="009255A2"/>
    <w:rsid w:val="00926E5F"/>
    <w:rsid w:val="00930617"/>
    <w:rsid w:val="00935EEF"/>
    <w:rsid w:val="00936D01"/>
    <w:rsid w:val="00953F07"/>
    <w:rsid w:val="00957DF3"/>
    <w:rsid w:val="00974B55"/>
    <w:rsid w:val="0098654C"/>
    <w:rsid w:val="00990EA4"/>
    <w:rsid w:val="009944A4"/>
    <w:rsid w:val="00997B12"/>
    <w:rsid w:val="009A666B"/>
    <w:rsid w:val="009A76C8"/>
    <w:rsid w:val="009B0CE7"/>
    <w:rsid w:val="009B2161"/>
    <w:rsid w:val="009B32D9"/>
    <w:rsid w:val="009B699B"/>
    <w:rsid w:val="009B6BB8"/>
    <w:rsid w:val="009C3C41"/>
    <w:rsid w:val="009E245A"/>
    <w:rsid w:val="009E7D89"/>
    <w:rsid w:val="009F1434"/>
    <w:rsid w:val="009F753A"/>
    <w:rsid w:val="00A21B03"/>
    <w:rsid w:val="00A2219C"/>
    <w:rsid w:val="00A26E0B"/>
    <w:rsid w:val="00A34F1F"/>
    <w:rsid w:val="00A41C8E"/>
    <w:rsid w:val="00A4212B"/>
    <w:rsid w:val="00A43875"/>
    <w:rsid w:val="00A4439C"/>
    <w:rsid w:val="00A45297"/>
    <w:rsid w:val="00A464CB"/>
    <w:rsid w:val="00A50219"/>
    <w:rsid w:val="00A515F5"/>
    <w:rsid w:val="00A52629"/>
    <w:rsid w:val="00A63677"/>
    <w:rsid w:val="00A64232"/>
    <w:rsid w:val="00A77243"/>
    <w:rsid w:val="00A937D9"/>
    <w:rsid w:val="00AA72F5"/>
    <w:rsid w:val="00AB0016"/>
    <w:rsid w:val="00AB1B0F"/>
    <w:rsid w:val="00AB3E7F"/>
    <w:rsid w:val="00AB7C11"/>
    <w:rsid w:val="00AC5E5C"/>
    <w:rsid w:val="00AE185D"/>
    <w:rsid w:val="00AE46B0"/>
    <w:rsid w:val="00AE628E"/>
    <w:rsid w:val="00AF15B9"/>
    <w:rsid w:val="00AF4849"/>
    <w:rsid w:val="00B02CE3"/>
    <w:rsid w:val="00B052C3"/>
    <w:rsid w:val="00B12771"/>
    <w:rsid w:val="00B2185C"/>
    <w:rsid w:val="00B265C0"/>
    <w:rsid w:val="00B30F4C"/>
    <w:rsid w:val="00B367BE"/>
    <w:rsid w:val="00B44C2D"/>
    <w:rsid w:val="00B45A07"/>
    <w:rsid w:val="00B46767"/>
    <w:rsid w:val="00B46D2F"/>
    <w:rsid w:val="00B47884"/>
    <w:rsid w:val="00B47C54"/>
    <w:rsid w:val="00B52061"/>
    <w:rsid w:val="00B52859"/>
    <w:rsid w:val="00B53C27"/>
    <w:rsid w:val="00B61EC4"/>
    <w:rsid w:val="00B649D5"/>
    <w:rsid w:val="00B65E0D"/>
    <w:rsid w:val="00B66A21"/>
    <w:rsid w:val="00B67C0D"/>
    <w:rsid w:val="00B73AA7"/>
    <w:rsid w:val="00B773E9"/>
    <w:rsid w:val="00B850D9"/>
    <w:rsid w:val="00B855FB"/>
    <w:rsid w:val="00B86D1B"/>
    <w:rsid w:val="00B9188E"/>
    <w:rsid w:val="00B97F67"/>
    <w:rsid w:val="00BA08C8"/>
    <w:rsid w:val="00BA3C12"/>
    <w:rsid w:val="00BA5BF2"/>
    <w:rsid w:val="00BB2F20"/>
    <w:rsid w:val="00BB3628"/>
    <w:rsid w:val="00BB5AEE"/>
    <w:rsid w:val="00BC4290"/>
    <w:rsid w:val="00BD1068"/>
    <w:rsid w:val="00BD26AD"/>
    <w:rsid w:val="00BD56BC"/>
    <w:rsid w:val="00BD653C"/>
    <w:rsid w:val="00BE1A35"/>
    <w:rsid w:val="00BE30B7"/>
    <w:rsid w:val="00BF0BF7"/>
    <w:rsid w:val="00BF0C78"/>
    <w:rsid w:val="00BF26C7"/>
    <w:rsid w:val="00BF3A67"/>
    <w:rsid w:val="00BF59F6"/>
    <w:rsid w:val="00C07F95"/>
    <w:rsid w:val="00C1079D"/>
    <w:rsid w:val="00C10FE4"/>
    <w:rsid w:val="00C13753"/>
    <w:rsid w:val="00C1542A"/>
    <w:rsid w:val="00C26502"/>
    <w:rsid w:val="00C26570"/>
    <w:rsid w:val="00C353A0"/>
    <w:rsid w:val="00C36682"/>
    <w:rsid w:val="00C42324"/>
    <w:rsid w:val="00C478EA"/>
    <w:rsid w:val="00C47C4A"/>
    <w:rsid w:val="00C51E33"/>
    <w:rsid w:val="00C554E6"/>
    <w:rsid w:val="00C57074"/>
    <w:rsid w:val="00C673B0"/>
    <w:rsid w:val="00C81384"/>
    <w:rsid w:val="00C84D56"/>
    <w:rsid w:val="00C87783"/>
    <w:rsid w:val="00C944EC"/>
    <w:rsid w:val="00C96E11"/>
    <w:rsid w:val="00C973F7"/>
    <w:rsid w:val="00CA0F72"/>
    <w:rsid w:val="00CA1FBA"/>
    <w:rsid w:val="00CA24C5"/>
    <w:rsid w:val="00CA7BD3"/>
    <w:rsid w:val="00CB005D"/>
    <w:rsid w:val="00CB08A8"/>
    <w:rsid w:val="00CB1B4E"/>
    <w:rsid w:val="00CB67EA"/>
    <w:rsid w:val="00CB763E"/>
    <w:rsid w:val="00CC57BE"/>
    <w:rsid w:val="00CD00EA"/>
    <w:rsid w:val="00CD1B7E"/>
    <w:rsid w:val="00CE27F9"/>
    <w:rsid w:val="00CE2EA8"/>
    <w:rsid w:val="00CE6739"/>
    <w:rsid w:val="00CF0AE4"/>
    <w:rsid w:val="00CF7676"/>
    <w:rsid w:val="00D056BA"/>
    <w:rsid w:val="00D06294"/>
    <w:rsid w:val="00D07D43"/>
    <w:rsid w:val="00D10420"/>
    <w:rsid w:val="00D15B0D"/>
    <w:rsid w:val="00D20F0C"/>
    <w:rsid w:val="00D21FE0"/>
    <w:rsid w:val="00D2329A"/>
    <w:rsid w:val="00D25918"/>
    <w:rsid w:val="00D30C5D"/>
    <w:rsid w:val="00D33634"/>
    <w:rsid w:val="00D3591A"/>
    <w:rsid w:val="00D73308"/>
    <w:rsid w:val="00D73367"/>
    <w:rsid w:val="00D74CFF"/>
    <w:rsid w:val="00D8797B"/>
    <w:rsid w:val="00D905D6"/>
    <w:rsid w:val="00D92CCD"/>
    <w:rsid w:val="00D9396F"/>
    <w:rsid w:val="00D97C29"/>
    <w:rsid w:val="00DA3DB5"/>
    <w:rsid w:val="00DA4AE9"/>
    <w:rsid w:val="00DB0E58"/>
    <w:rsid w:val="00DB66E9"/>
    <w:rsid w:val="00DC08E0"/>
    <w:rsid w:val="00DE1FDE"/>
    <w:rsid w:val="00DE2E58"/>
    <w:rsid w:val="00DE549E"/>
    <w:rsid w:val="00DF0220"/>
    <w:rsid w:val="00E003D2"/>
    <w:rsid w:val="00E04BD8"/>
    <w:rsid w:val="00E06D63"/>
    <w:rsid w:val="00E107BB"/>
    <w:rsid w:val="00E14146"/>
    <w:rsid w:val="00E22EA9"/>
    <w:rsid w:val="00E35E0F"/>
    <w:rsid w:val="00E36F6B"/>
    <w:rsid w:val="00E371D1"/>
    <w:rsid w:val="00E47EB2"/>
    <w:rsid w:val="00E53738"/>
    <w:rsid w:val="00E61227"/>
    <w:rsid w:val="00E65AB9"/>
    <w:rsid w:val="00E84F3B"/>
    <w:rsid w:val="00E919DB"/>
    <w:rsid w:val="00E92CC3"/>
    <w:rsid w:val="00E96594"/>
    <w:rsid w:val="00EA1C9E"/>
    <w:rsid w:val="00EA2676"/>
    <w:rsid w:val="00EA6697"/>
    <w:rsid w:val="00EA736A"/>
    <w:rsid w:val="00EB0DB3"/>
    <w:rsid w:val="00EB144C"/>
    <w:rsid w:val="00EB3A0C"/>
    <w:rsid w:val="00EC5178"/>
    <w:rsid w:val="00EC7DFE"/>
    <w:rsid w:val="00ED3FD5"/>
    <w:rsid w:val="00ED5F67"/>
    <w:rsid w:val="00EF0113"/>
    <w:rsid w:val="00EF08AE"/>
    <w:rsid w:val="00EF24DF"/>
    <w:rsid w:val="00EF2813"/>
    <w:rsid w:val="00EF4B63"/>
    <w:rsid w:val="00EF5790"/>
    <w:rsid w:val="00F03FD7"/>
    <w:rsid w:val="00F0602A"/>
    <w:rsid w:val="00F07349"/>
    <w:rsid w:val="00F12C6B"/>
    <w:rsid w:val="00F15F19"/>
    <w:rsid w:val="00F17EBA"/>
    <w:rsid w:val="00F23C32"/>
    <w:rsid w:val="00F40A56"/>
    <w:rsid w:val="00F44489"/>
    <w:rsid w:val="00F475EF"/>
    <w:rsid w:val="00F5003E"/>
    <w:rsid w:val="00F62E9D"/>
    <w:rsid w:val="00F7183A"/>
    <w:rsid w:val="00F75CDE"/>
    <w:rsid w:val="00F7756F"/>
    <w:rsid w:val="00F77B94"/>
    <w:rsid w:val="00F84450"/>
    <w:rsid w:val="00F84E5A"/>
    <w:rsid w:val="00F91EE4"/>
    <w:rsid w:val="00FB001F"/>
    <w:rsid w:val="00FB1817"/>
    <w:rsid w:val="00FB7ED8"/>
    <w:rsid w:val="00FC2B72"/>
    <w:rsid w:val="00FC31CD"/>
    <w:rsid w:val="00FC3FB7"/>
    <w:rsid w:val="00FC7344"/>
    <w:rsid w:val="00FD0B6F"/>
    <w:rsid w:val="00FD13FB"/>
    <w:rsid w:val="00FD2F4A"/>
    <w:rsid w:val="00FD3F3F"/>
    <w:rsid w:val="00FE44F3"/>
    <w:rsid w:val="00FE58BF"/>
    <w:rsid w:val="00FE6F1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vidstevens@utah.gov" TargetMode="External"/><Relationship Id="rId12" Type="http://schemas.openxmlformats.org/officeDocument/2006/relationships/image" Target="media/image3.wm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1824</Words>
  <Characters>11337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28</cp:revision>
  <cp:lastPrinted>2011-06-21T20:32:00Z</cp:lastPrinted>
  <dcterms:created xsi:type="dcterms:W3CDTF">2014-07-14T23:43:00Z</dcterms:created>
  <dcterms:modified xsi:type="dcterms:W3CDTF">2014-07-28T23:24:00Z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