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6B17D7" w:rsidRPr="006B17D7">
        <w:rPr>
          <w:rFonts w:ascii="Arial" w:hAnsi="Arial" w:cs="Arial"/>
          <w:sz w:val="24"/>
          <w:szCs w:val="24"/>
          <w:u w:val="single"/>
        </w:rPr>
        <w:t>3/31/2014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A46A50">
        <w:rPr>
          <w:rFonts w:ascii="Arial" w:hAnsi="Arial" w:cs="Arial"/>
          <w:sz w:val="24"/>
          <w:szCs w:val="24"/>
          <w:u w:val="single"/>
        </w:rPr>
        <w:t>Vermont Agency of Transportation</w:t>
      </w:r>
      <w:r>
        <w:rPr>
          <w:rFonts w:ascii="Arial" w:hAnsi="Arial" w:cs="Arial"/>
          <w:sz w:val="24"/>
          <w:szCs w:val="24"/>
        </w:rPr>
        <w:t>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6A50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TPF-5(222)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6B17D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1822F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16C3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6B17D7" w:rsidP="00516C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A46A5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46A50">
              <w:t>New England Transportation Consortium (VI)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Ahearn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46A50">
              <w:rPr>
                <w:rFonts w:ascii="Arial" w:hAnsi="Arial" w:cs="Arial"/>
                <w:sz w:val="20"/>
                <w:szCs w:val="20"/>
              </w:rPr>
              <w:t>802-828-2561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Default="00ED375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6A50" w:rsidRPr="000C5B99">
                <w:rPr>
                  <w:rStyle w:val="Hyperlink"/>
                  <w:rFonts w:ascii="Arial" w:hAnsi="Arial" w:cs="Arial"/>
                  <w:sz w:val="20"/>
                  <w:szCs w:val="20"/>
                </w:rPr>
                <w:t>Bill.Ahearn@state.vt.us</w:t>
              </w:r>
            </w:hyperlink>
          </w:p>
          <w:p w:rsidR="00A46A50" w:rsidRPr="00B66A21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Pr="00055579" w:rsidRDefault="003269A2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CA0306</w:t>
            </w:r>
          </w:p>
          <w:p w:rsidR="00BF259C" w:rsidRPr="009D408F" w:rsidRDefault="00BF259C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06-4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07-1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09-2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09-3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10-3</w:t>
            </w: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786BF4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9/16/13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7/1/13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9/1/13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9/1/13</w:t>
            </w:r>
          </w:p>
          <w:p w:rsidR="003269A2" w:rsidRPr="00B66A21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9/16/13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06-4    9/15/15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07-1    3/31/16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09-2    2/28/16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09-3    8/31/15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10-3    9/15/15</w:t>
            </w:r>
          </w:p>
          <w:p w:rsidR="00D30BA2" w:rsidRPr="009D408F" w:rsidRDefault="00D30BA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9/15/15</w:t>
            </w:r>
          </w:p>
          <w:p w:rsidR="00544B89" w:rsidRPr="009D408F" w:rsidRDefault="00544B89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1C2F45" w:rsidRPr="00B66A21" w:rsidRDefault="001C2F45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3269A2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E"/>
      </w:r>
      <w:r w:rsidR="001822FD" w:rsidRPr="00B66A21"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06-4    $242,909</w:t>
            </w:r>
          </w:p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07-1    $198,154</w:t>
            </w:r>
          </w:p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09-2    $80,000</w:t>
            </w:r>
          </w:p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09-3    $165,000</w:t>
            </w:r>
          </w:p>
          <w:p w:rsidR="00383656" w:rsidRPr="003269A2" w:rsidRDefault="003269A2" w:rsidP="00E83E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10-3    $150,158</w:t>
            </w:r>
          </w:p>
        </w:tc>
        <w:tc>
          <w:tcPr>
            <w:tcW w:w="3330" w:type="dxa"/>
          </w:tcPr>
          <w:p w:rsidR="00FD17EB" w:rsidRPr="003269A2" w:rsidRDefault="003269A2" w:rsidP="00FD17EB">
            <w:pPr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3269A2" w:rsidRPr="003269A2" w:rsidRDefault="003269A2" w:rsidP="00FD17EB">
            <w:pPr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$3,380</w:t>
            </w:r>
          </w:p>
          <w:p w:rsidR="003269A2" w:rsidRPr="003269A2" w:rsidRDefault="006B17D7" w:rsidP="00FD1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$1,083</w:t>
            </w:r>
          </w:p>
          <w:p w:rsidR="003269A2" w:rsidRPr="003269A2" w:rsidRDefault="006B17D7" w:rsidP="00FD1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$39,217</w:t>
            </w:r>
          </w:p>
          <w:p w:rsidR="00874EF7" w:rsidRPr="003269A2" w:rsidRDefault="003269A2" w:rsidP="003269A2">
            <w:pPr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3269A2" w:rsidRDefault="006B17D7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3269A2" w:rsidRPr="003269A2" w:rsidRDefault="006B17D7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269A2" w:rsidRPr="003269A2" w:rsidRDefault="006B17D7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269A2" w:rsidRPr="003269A2" w:rsidRDefault="006B17D7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6B2633" w:rsidRPr="003269A2" w:rsidRDefault="006B17D7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16C3F">
              <w:rPr>
                <w:rFonts w:ascii="Arial" w:hAnsi="Arial" w:cs="Arial"/>
                <w:sz w:val="20"/>
                <w:szCs w:val="20"/>
              </w:rPr>
              <w:t>0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83656" w:rsidRDefault="00383656" w:rsidP="00055579">
      <w:pPr>
        <w:spacing w:after="0"/>
        <w:ind w:right="-720"/>
        <w:rPr>
          <w:rFonts w:ascii="Arial" w:hAnsi="Arial" w:cs="Arial"/>
          <w:sz w:val="20"/>
          <w:szCs w:val="20"/>
        </w:rPr>
      </w:pPr>
    </w:p>
    <w:p w:rsidR="000C4A49" w:rsidRDefault="000C4A49" w:rsidP="00055579">
      <w:pPr>
        <w:spacing w:after="0"/>
        <w:ind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253532" w:rsidRPr="003269A2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06-4    $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6C3F">
              <w:rPr>
                <w:rFonts w:ascii="Arial" w:hAnsi="Arial" w:cs="Arial"/>
                <w:sz w:val="20"/>
                <w:szCs w:val="20"/>
              </w:rPr>
              <w:t xml:space="preserve">                    0%</w:t>
            </w:r>
          </w:p>
          <w:p w:rsidR="00253532" w:rsidRPr="003269A2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07-1    $</w:t>
            </w:r>
            <w:r w:rsidR="00516C3F">
              <w:rPr>
                <w:rFonts w:ascii="Arial" w:hAnsi="Arial" w:cs="Arial"/>
                <w:sz w:val="20"/>
                <w:szCs w:val="20"/>
              </w:rPr>
              <w:t>3,380             0%</w:t>
            </w:r>
          </w:p>
          <w:p w:rsidR="00253532" w:rsidRPr="003269A2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09-2    $</w:t>
            </w:r>
            <w:r w:rsidR="006B17D7">
              <w:rPr>
                <w:rFonts w:ascii="Arial" w:hAnsi="Arial" w:cs="Arial"/>
                <w:sz w:val="20"/>
                <w:szCs w:val="20"/>
              </w:rPr>
              <w:t>1,083</w:t>
            </w:r>
            <w:r w:rsidR="00516C3F">
              <w:rPr>
                <w:rFonts w:ascii="Arial" w:hAnsi="Arial" w:cs="Arial"/>
                <w:sz w:val="20"/>
                <w:szCs w:val="20"/>
              </w:rPr>
              <w:t xml:space="preserve">             0.</w:t>
            </w:r>
            <w:r w:rsidR="006B17D7">
              <w:rPr>
                <w:rFonts w:ascii="Arial" w:hAnsi="Arial" w:cs="Arial"/>
                <w:sz w:val="20"/>
                <w:szCs w:val="20"/>
              </w:rPr>
              <w:t>9</w:t>
            </w:r>
            <w:r w:rsidR="00516C3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09-3    $</w:t>
            </w:r>
            <w:r w:rsidR="006B17D7">
              <w:rPr>
                <w:rFonts w:ascii="Arial" w:hAnsi="Arial" w:cs="Arial"/>
                <w:sz w:val="20"/>
                <w:szCs w:val="20"/>
              </w:rPr>
              <w:t>39,217           15.4</w:t>
            </w:r>
            <w:r w:rsidR="00516C3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F5930" w:rsidRPr="00383656" w:rsidRDefault="00253532" w:rsidP="00253532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10-3    $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6C3F">
              <w:rPr>
                <w:rFonts w:ascii="Arial" w:hAnsi="Arial" w:cs="Arial"/>
                <w:sz w:val="20"/>
                <w:szCs w:val="20"/>
              </w:rPr>
              <w:t xml:space="preserve">                    0%</w:t>
            </w:r>
          </w:p>
        </w:tc>
        <w:tc>
          <w:tcPr>
            <w:tcW w:w="3330" w:type="dxa"/>
          </w:tcPr>
          <w:p w:rsidR="00253532" w:rsidRPr="003269A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253532" w:rsidRPr="003269A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253532" w:rsidRPr="003269A2" w:rsidRDefault="006B17D7" w:rsidP="0025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$683</w:t>
            </w:r>
          </w:p>
          <w:p w:rsidR="00253532" w:rsidRPr="003269A2" w:rsidRDefault="006B17D7" w:rsidP="0025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$25,452</w:t>
            </w:r>
          </w:p>
          <w:p w:rsidR="00311B09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F5930" w:rsidRPr="00B73B47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253532" w:rsidRPr="003269A2" w:rsidRDefault="006B17D7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6B17D7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6B17D7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6B17D7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F5930" w:rsidRPr="00B73B47" w:rsidRDefault="006B17D7" w:rsidP="00253532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06-4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Preventative Maintenance and Timing of Applications</w:t>
            </w: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07-1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In-Place Response Mechanisms of Recycled Layers Due to Temperature and Moisture Variations</w:t>
            </w: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07-3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Determining Optimum Distance for a Lane Drop Downstream from a Signalized Intersection</w:t>
            </w: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09-2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Effective Establishment of Native Grasses on Roadsides</w:t>
            </w: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09-3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Advanced Composite Materials: Prototype Development and Demonstration</w:t>
            </w:r>
          </w:p>
          <w:p w:rsidR="00601EBD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10-3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Low Temperature and Moisture Susceptibility of RAP Mixtures with Warm Mix Technology</w:t>
            </w:r>
          </w:p>
          <w:p w:rsid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86DA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06-4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UMass Dartmouth hosted the project Kick-Off Meeting on February 12th, 2014. UMass Dartmouth continued work on the literature review and internet survey.</w:t>
            </w:r>
          </w:p>
          <w:p w:rsidR="00516C3F" w:rsidRPr="00253532" w:rsidRDefault="00516C3F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86D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07-1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The research team has begun testing on the two existing sites in NH. To date, the Warren Flats site has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been tested on February 21 and on March 21. On both dates, thermistor data suggests that there was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some temporary thawing down to about 5 inches beneath the top of pavement. In between those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temporary thawing events, there have been refreezing events. Based upon forecast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air temperatures and cumulative thawing indices, it is anticipated that the current thawing event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(beginning March 28) is likely to continue with minimal or no refreezing. The first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Kancamangus</w:t>
            </w:r>
            <w:proofErr w:type="spellEnd"/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testing will thus likely be during early thaw conditions; frozen conditions will be tested in 2015. Testing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of both the Warren Flats and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Kancamangus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sites will continue through the next quarter, to capture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stiffness data during the thaw-weakened period as well as the recovery period.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The research team has also been working with the ME DOT to identify an appropriate location for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instrumentation on the PMRAP Waterford/Norway project.</w:t>
            </w:r>
          </w:p>
          <w:p w:rsidR="00186DA2" w:rsidRPr="00253532" w:rsidRDefault="00186DA2" w:rsidP="00186D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7B2" w:rsidRDefault="00253532" w:rsidP="00186DA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Two investigators –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Kuzovkina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and Dreyer – attended the Ecological Landscape Symposium: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New Directions in the American Landscape on January 9-10, 2014 at the Connecticut College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Arboretum to gather relevant information for the Manual and to meet the practitioners in the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field of ecological restoration.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Kuzovkina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Schulthess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conducted the candidate search and interviewing through the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American Society for Horticultural Sciences for the Graduate Assistant position to work on this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project.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February 26, 2014 all co-PIs and candidate for the Graduate Assistant John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Campanelli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met with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the practitioner Larry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Weaner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at the Connecticut College Arboretum to discuss the selection of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native grasses for demonstration sites along Rt. 6 in Connecticut.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January-March 2014 all co-PIs conducted the literature search to access all relevant information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for the Manual.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February-March 2014 – development of the specifications of native grass plantings for the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demonstration sites.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5 March, 2014 – phone discussion with Colonial Seed LLC about the plant specifications for the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demonstration sites.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February-April 2014 communication with Dr. Rebecca Brown from the University of Rhode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Island about the project: development of the bluestem ecotype study and discussion of the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specifications for the demonstration sites.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March 25, 2014 –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Kuzovkina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visited the University of Delaware to communicate with the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colleagues – Susan Barton and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Valann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Budischak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– working on similar DOT project in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Delaware. Discussion about saw-dust establishment protocol.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March 29-31, 2014 – John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Campanelli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initiated seed ordering from Ernst Conservation Co.</w:t>
            </w:r>
          </w:p>
          <w:p w:rsidR="00186DA2" w:rsidRDefault="00186DA2" w:rsidP="00186DA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6DA2" w:rsidRDefault="00186DA2" w:rsidP="00186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09-3,</w:t>
            </w:r>
            <w:r>
              <w:t xml:space="preserve"> </w:t>
            </w:r>
            <w:r w:rsidRPr="00186DA2">
              <w:rPr>
                <w:rFonts w:ascii="Arial" w:hAnsi="Arial" w:cs="Arial"/>
                <w:sz w:val="20"/>
                <w:szCs w:val="20"/>
              </w:rPr>
              <w:t>Draft specifications have been submitted to committee and vendors for 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186DA2">
              <w:rPr>
                <w:rFonts w:ascii="Arial" w:hAnsi="Arial" w:cs="Arial"/>
                <w:sz w:val="20"/>
                <w:szCs w:val="20"/>
              </w:rPr>
              <w:t>Vendors are still providing feedback.</w:t>
            </w:r>
          </w:p>
          <w:p w:rsidR="006777B2" w:rsidRPr="00253532" w:rsidRDefault="006777B2" w:rsidP="006777B2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26C" w:rsidRDefault="00253532" w:rsidP="00186DA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10-3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UMass Dartmouth hosted the project Kick-Off Meeting on February 7th, 2014. UMass Dartmouth conducted two phone meetings with two contractors (Palmer Paving - MA, &amp;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6DA2" w:rsidRPr="00186DA2">
              <w:rPr>
                <w:rFonts w:ascii="Arial" w:hAnsi="Arial" w:cs="Arial"/>
                <w:sz w:val="20"/>
                <w:szCs w:val="20"/>
              </w:rPr>
              <w:t>Tilcon</w:t>
            </w:r>
            <w:proofErr w:type="spellEnd"/>
            <w:r w:rsidR="00186DA2" w:rsidRPr="00186DA2">
              <w:rPr>
                <w:rFonts w:ascii="Arial" w:hAnsi="Arial" w:cs="Arial"/>
                <w:sz w:val="20"/>
                <w:szCs w:val="20"/>
              </w:rPr>
              <w:t xml:space="preserve"> - CT) who will produce mixtures for this study.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Due to plant limitations, the batch plant mixtures may not be produced in 2014, but may be produced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in 2015. The remaining mixtures are scheduled to be produced in late April or early May 2014.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UMass Dartmouth will be on site during production for sampling and specimen production. A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production information sheet was developed (also attached to this report) to be utilized to quantify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the critical production para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meters related to the mixtures.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UMass Dartmouth updated the internet survey based on the comments obtained during the Kick-Off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Meeting. Subsequently, UMass Dartmouth began the process of loading the surveys onto the internet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system for solicitation of responses.</w:t>
            </w:r>
          </w:p>
          <w:p w:rsidR="00186DA2" w:rsidRPr="00055579" w:rsidRDefault="00186DA2" w:rsidP="00186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06-4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>
              <w:rPr>
                <w:rFonts w:ascii="Arial" w:hAnsi="Arial" w:cs="Arial"/>
                <w:sz w:val="20"/>
                <w:szCs w:val="20"/>
              </w:rPr>
              <w:t>Continue working on</w:t>
            </w:r>
            <w:r w:rsidRPr="00253532">
              <w:rPr>
                <w:rFonts w:ascii="Arial" w:hAnsi="Arial" w:cs="Arial"/>
                <w:sz w:val="20"/>
                <w:szCs w:val="20"/>
              </w:rPr>
              <w:t xml:space="preserve"> Literature Review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253532">
              <w:rPr>
                <w:rFonts w:ascii="Arial" w:hAnsi="Arial" w:cs="Arial"/>
                <w:sz w:val="20"/>
                <w:szCs w:val="20"/>
              </w:rPr>
              <w:t xml:space="preserve"> Internet Survey.</w:t>
            </w:r>
          </w:p>
          <w:p w:rsidR="00B4657A" w:rsidRPr="00253532" w:rsidRDefault="00B4657A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86DA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07-1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The research team will be conducting tests on the two existing sites during the 2014 spring thaw period.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The team will also work to finalize the selection of targeted test sites for installation of instrumentation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during the 2014 construction season.</w:t>
            </w:r>
          </w:p>
          <w:p w:rsidR="00B4657A" w:rsidRPr="00253532" w:rsidRDefault="00B4657A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86DA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Continue the literature review, spring plantings of the demonstration plots and research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experimental units as described in the proposal. Continue the discussions with the stakeholders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to receive sufficient feedback about the project. Outline the precise species composition and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establishment techniques. Planting and data collection.</w:t>
            </w:r>
          </w:p>
          <w:p w:rsidR="00B4657A" w:rsidRDefault="00B4657A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86DA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Completion of approve specifications.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Determine list of bridge projects that can be included for demonstrations.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Vendor evaluation checklist to be submitted.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Host vendor meetings with technical committee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186DA2" w:rsidRPr="00186DA2">
              <w:rPr>
                <w:rFonts w:ascii="Arial" w:hAnsi="Arial" w:cs="Arial"/>
                <w:sz w:val="20"/>
                <w:szCs w:val="20"/>
              </w:rPr>
              <w:t>Materials characterization of witness plates</w:t>
            </w:r>
            <w:r w:rsidR="00186D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657A" w:rsidRPr="00253532" w:rsidRDefault="00B4657A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771BFC" w:rsidRDefault="00253532" w:rsidP="00ED375B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10-3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77B2" w:rsidRPr="006777B2">
              <w:rPr>
                <w:rFonts w:ascii="Arial" w:hAnsi="Arial" w:cs="Arial"/>
                <w:sz w:val="20"/>
                <w:szCs w:val="20"/>
              </w:rPr>
              <w:t>Complete Literature Review. Determine Critical Information.</w:t>
            </w:r>
            <w:r w:rsidR="00ED375B">
              <w:rPr>
                <w:rFonts w:ascii="Arial" w:hAnsi="Arial" w:cs="Arial"/>
                <w:sz w:val="20"/>
                <w:szCs w:val="20"/>
              </w:rPr>
              <w:t xml:space="preserve">  Work on </w:t>
            </w:r>
            <w:r w:rsidR="00ED375B" w:rsidRPr="00ED375B">
              <w:rPr>
                <w:rFonts w:ascii="Arial" w:hAnsi="Arial" w:cs="Arial"/>
                <w:sz w:val="20"/>
                <w:szCs w:val="20"/>
              </w:rPr>
              <w:t>WMA Technologies Selection Process</w:t>
            </w:r>
            <w:r w:rsidR="00ED375B">
              <w:rPr>
                <w:rFonts w:ascii="Arial" w:hAnsi="Arial" w:cs="Arial"/>
                <w:sz w:val="20"/>
                <w:szCs w:val="20"/>
              </w:rPr>
              <w:t>, Identify</w:t>
            </w:r>
            <w:r w:rsidR="00ED375B" w:rsidRPr="00ED375B">
              <w:rPr>
                <w:rFonts w:ascii="Arial" w:hAnsi="Arial" w:cs="Arial"/>
                <w:sz w:val="20"/>
                <w:szCs w:val="20"/>
              </w:rPr>
              <w:t xml:space="preserve"> Moisture Susceptibility Test</w:t>
            </w:r>
            <w:r w:rsidR="00ED375B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ED375B" w:rsidRPr="00ED375B">
              <w:rPr>
                <w:rFonts w:ascii="Arial" w:hAnsi="Arial" w:cs="Arial"/>
                <w:sz w:val="20"/>
                <w:szCs w:val="20"/>
              </w:rPr>
              <w:t>Develop a Testing Matrix</w:t>
            </w:r>
            <w:r w:rsidR="00ED375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ED375B" w:rsidRDefault="00ED375B" w:rsidP="00ED375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545C06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7367C3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of this reporting period</w:t>
            </w:r>
            <w:r w:rsidR="004D19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5579" w:rsidRDefault="00B4657A" w:rsidP="00055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09-2 and 09-3 contracts were executed 6 weeks after the start date listed in the contract.  This should not cause a significant delay in the project.</w:t>
            </w:r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B4657A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1E42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55579">
              <w:rPr>
                <w:rFonts w:ascii="Arial" w:hAnsi="Arial" w:cs="Arial"/>
                <w:sz w:val="20"/>
                <w:szCs w:val="20"/>
              </w:rPr>
              <w:t xml:space="preserve"> research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listed above are </w:t>
            </w:r>
            <w:r w:rsidR="00186DA2">
              <w:rPr>
                <w:rFonts w:ascii="Arial" w:hAnsi="Arial" w:cs="Arial"/>
                <w:sz w:val="20"/>
                <w:szCs w:val="20"/>
              </w:rPr>
              <w:t xml:space="preserve">fairly </w:t>
            </w:r>
            <w:r>
              <w:rPr>
                <w:rFonts w:ascii="Arial" w:hAnsi="Arial" w:cs="Arial"/>
                <w:sz w:val="20"/>
                <w:szCs w:val="20"/>
              </w:rPr>
              <w:t>new</w:t>
            </w:r>
            <w:r w:rsidR="00055579">
              <w:rPr>
                <w:rFonts w:ascii="Arial" w:hAnsi="Arial" w:cs="Arial"/>
                <w:sz w:val="20"/>
                <w:szCs w:val="20"/>
              </w:rPr>
              <w:t>.</w:t>
            </w:r>
            <w:r w:rsidR="001E426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Implementations of the results of those projects are</w:t>
            </w:r>
            <w:r w:rsidR="001E426C">
              <w:rPr>
                <w:rFonts w:ascii="Arial" w:hAnsi="Arial" w:cs="Arial"/>
                <w:sz w:val="20"/>
                <w:szCs w:val="20"/>
              </w:rPr>
              <w:t xml:space="preserve"> not anticipated in the near future.</w:t>
            </w: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50" w:rsidRDefault="00A46A50" w:rsidP="00106C83">
      <w:pPr>
        <w:spacing w:after="0" w:line="240" w:lineRule="auto"/>
      </w:pPr>
      <w:r>
        <w:separator/>
      </w:r>
    </w:p>
  </w:endnote>
  <w:end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50" w:rsidRDefault="00A46A50" w:rsidP="00E371D1">
    <w:pPr>
      <w:pStyle w:val="Footer"/>
      <w:ind w:left="-810"/>
    </w:pPr>
    <w:r>
      <w:t>TPF Program Standard Quarterly Reporting Format – 9/2011 (revised)</w:t>
    </w:r>
  </w:p>
  <w:p w:rsidR="00A46A50" w:rsidRDefault="00A46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50" w:rsidRDefault="00A46A50" w:rsidP="00106C83">
      <w:pPr>
        <w:spacing w:after="0" w:line="240" w:lineRule="auto"/>
      </w:pPr>
      <w:r>
        <w:separator/>
      </w:r>
    </w:p>
  </w:footnote>
  <w:foot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BF6"/>
    <w:multiLevelType w:val="hybridMultilevel"/>
    <w:tmpl w:val="2F9A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C12"/>
    <w:rsid w:val="00002CD9"/>
    <w:rsid w:val="00023C47"/>
    <w:rsid w:val="00037FBC"/>
    <w:rsid w:val="00055579"/>
    <w:rsid w:val="000736BB"/>
    <w:rsid w:val="00081617"/>
    <w:rsid w:val="000A4611"/>
    <w:rsid w:val="000B665A"/>
    <w:rsid w:val="000C0AD2"/>
    <w:rsid w:val="000C4A49"/>
    <w:rsid w:val="000C6388"/>
    <w:rsid w:val="000E66B7"/>
    <w:rsid w:val="00104D1F"/>
    <w:rsid w:val="00106C83"/>
    <w:rsid w:val="001300FD"/>
    <w:rsid w:val="001407E6"/>
    <w:rsid w:val="001547D0"/>
    <w:rsid w:val="00161153"/>
    <w:rsid w:val="001616A0"/>
    <w:rsid w:val="001822FD"/>
    <w:rsid w:val="00186DA2"/>
    <w:rsid w:val="001C2F45"/>
    <w:rsid w:val="001D1A2D"/>
    <w:rsid w:val="001E426C"/>
    <w:rsid w:val="0021446D"/>
    <w:rsid w:val="00216E47"/>
    <w:rsid w:val="002511AF"/>
    <w:rsid w:val="00253532"/>
    <w:rsid w:val="00260258"/>
    <w:rsid w:val="00293FD8"/>
    <w:rsid w:val="002A6368"/>
    <w:rsid w:val="002A79C8"/>
    <w:rsid w:val="002B5B60"/>
    <w:rsid w:val="002C46E7"/>
    <w:rsid w:val="00311B09"/>
    <w:rsid w:val="0032353B"/>
    <w:rsid w:val="003269A2"/>
    <w:rsid w:val="00331EE3"/>
    <w:rsid w:val="003717A3"/>
    <w:rsid w:val="00374570"/>
    <w:rsid w:val="003831F2"/>
    <w:rsid w:val="00383656"/>
    <w:rsid w:val="0038705A"/>
    <w:rsid w:val="004144E6"/>
    <w:rsid w:val="004156B2"/>
    <w:rsid w:val="00421796"/>
    <w:rsid w:val="00435EFC"/>
    <w:rsid w:val="00437734"/>
    <w:rsid w:val="00480D88"/>
    <w:rsid w:val="004863A0"/>
    <w:rsid w:val="004D1943"/>
    <w:rsid w:val="004D33CC"/>
    <w:rsid w:val="004E14DC"/>
    <w:rsid w:val="004F5968"/>
    <w:rsid w:val="00516C3F"/>
    <w:rsid w:val="00535598"/>
    <w:rsid w:val="00544B89"/>
    <w:rsid w:val="00545C06"/>
    <w:rsid w:val="00547D69"/>
    <w:rsid w:val="00547EE3"/>
    <w:rsid w:val="00551D8A"/>
    <w:rsid w:val="00581B36"/>
    <w:rsid w:val="00583E8E"/>
    <w:rsid w:val="0059594F"/>
    <w:rsid w:val="005B21F1"/>
    <w:rsid w:val="005D2267"/>
    <w:rsid w:val="00601EBD"/>
    <w:rsid w:val="00603626"/>
    <w:rsid w:val="00675C01"/>
    <w:rsid w:val="006777B2"/>
    <w:rsid w:val="00682C5E"/>
    <w:rsid w:val="006B17D7"/>
    <w:rsid w:val="006B2633"/>
    <w:rsid w:val="0071228B"/>
    <w:rsid w:val="00713AA6"/>
    <w:rsid w:val="007367C3"/>
    <w:rsid w:val="00743C01"/>
    <w:rsid w:val="00743F70"/>
    <w:rsid w:val="00771BFC"/>
    <w:rsid w:val="00786BF4"/>
    <w:rsid w:val="00790C4A"/>
    <w:rsid w:val="007A56E9"/>
    <w:rsid w:val="007E29BF"/>
    <w:rsid w:val="007E5BD2"/>
    <w:rsid w:val="00860FD8"/>
    <w:rsid w:val="00872F18"/>
    <w:rsid w:val="00874EF7"/>
    <w:rsid w:val="00905DAC"/>
    <w:rsid w:val="009251A6"/>
    <w:rsid w:val="00954CA6"/>
    <w:rsid w:val="00961B54"/>
    <w:rsid w:val="00963258"/>
    <w:rsid w:val="009B11AD"/>
    <w:rsid w:val="009B7E5D"/>
    <w:rsid w:val="009D2474"/>
    <w:rsid w:val="009D408F"/>
    <w:rsid w:val="009E15E5"/>
    <w:rsid w:val="00A43875"/>
    <w:rsid w:val="00A44751"/>
    <w:rsid w:val="00A46A50"/>
    <w:rsid w:val="00A63677"/>
    <w:rsid w:val="00A702FD"/>
    <w:rsid w:val="00A81335"/>
    <w:rsid w:val="00AA31E6"/>
    <w:rsid w:val="00AB2A58"/>
    <w:rsid w:val="00AE46B0"/>
    <w:rsid w:val="00B060E2"/>
    <w:rsid w:val="00B06A43"/>
    <w:rsid w:val="00B17758"/>
    <w:rsid w:val="00B2185C"/>
    <w:rsid w:val="00B358DC"/>
    <w:rsid w:val="00B4657A"/>
    <w:rsid w:val="00B66A21"/>
    <w:rsid w:val="00B73B47"/>
    <w:rsid w:val="00BD7F1E"/>
    <w:rsid w:val="00BF259C"/>
    <w:rsid w:val="00BF5930"/>
    <w:rsid w:val="00C10D97"/>
    <w:rsid w:val="00C13753"/>
    <w:rsid w:val="00C14CD1"/>
    <w:rsid w:val="00C24A10"/>
    <w:rsid w:val="00C3113C"/>
    <w:rsid w:val="00C934C5"/>
    <w:rsid w:val="00CB1CC6"/>
    <w:rsid w:val="00CB7B56"/>
    <w:rsid w:val="00CC4BF5"/>
    <w:rsid w:val="00CF3FE9"/>
    <w:rsid w:val="00CF7480"/>
    <w:rsid w:val="00D30BA2"/>
    <w:rsid w:val="00D42A15"/>
    <w:rsid w:val="00D9235A"/>
    <w:rsid w:val="00DE17E8"/>
    <w:rsid w:val="00E35E0F"/>
    <w:rsid w:val="00E371D1"/>
    <w:rsid w:val="00E3731D"/>
    <w:rsid w:val="00E50A02"/>
    <w:rsid w:val="00E53738"/>
    <w:rsid w:val="00E83E69"/>
    <w:rsid w:val="00E847A9"/>
    <w:rsid w:val="00ED0024"/>
    <w:rsid w:val="00ED375B"/>
    <w:rsid w:val="00ED5F67"/>
    <w:rsid w:val="00EE3619"/>
    <w:rsid w:val="00EF08AE"/>
    <w:rsid w:val="00EF5790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ll.Ahearn@state.v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F29A-A7F0-4DAC-91F4-10216925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Hanaway-Corrente, Amanda</cp:lastModifiedBy>
  <cp:revision>10</cp:revision>
  <cp:lastPrinted>2011-06-21T20:32:00Z</cp:lastPrinted>
  <dcterms:created xsi:type="dcterms:W3CDTF">2012-07-05T14:16:00Z</dcterms:created>
  <dcterms:modified xsi:type="dcterms:W3CDTF">2014-04-30T19:58:00Z</dcterms:modified>
</cp:coreProperties>
</file>