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224E48" w:rsidP="0070592F">
            <w:pPr>
              <w:spacing w:before="120"/>
              <w:ind w:right="-720"/>
              <w:rPr>
                <w:rFonts w:ascii="Arial" w:hAnsi="Arial" w:cs="Arial"/>
                <w:sz w:val="20"/>
                <w:szCs w:val="20"/>
              </w:rPr>
            </w:pPr>
            <w:r w:rsidRPr="009E1E27">
              <w:rPr>
                <w:rFonts w:ascii="Agency FB" w:hAnsi="Agency FB" w:cs="Arial"/>
                <w:b/>
                <w:sz w:val="20"/>
                <w:szCs w:val="20"/>
              </w:rPr>
              <w:t>√</w:t>
            </w:r>
            <w:r w:rsidR="00A33242">
              <w:rPr>
                <w:rFonts w:ascii="Arial" w:hAnsi="Arial" w:cs="Arial"/>
                <w:sz w:val="20"/>
                <w:szCs w:val="20"/>
              </w:rPr>
              <w:t xml:space="preserve"> </w:t>
            </w:r>
            <w:r w:rsidR="008F3821">
              <w:rPr>
                <w:rFonts w:ascii="Arial" w:hAnsi="Arial" w:cs="Arial"/>
                <w:sz w:val="20"/>
                <w:szCs w:val="20"/>
              </w:rPr>
              <w:t xml:space="preserve"> </w:t>
            </w:r>
            <w:r w:rsidR="00A33242">
              <w:rPr>
                <w:rFonts w:ascii="Arial" w:hAnsi="Arial" w:cs="Arial"/>
                <w:sz w:val="20"/>
                <w:szCs w:val="20"/>
              </w:rPr>
              <w:t xml:space="preserve"> </w:t>
            </w:r>
            <w:r w:rsidR="00551D8A">
              <w:rPr>
                <w:rFonts w:ascii="Arial" w:hAnsi="Arial" w:cs="Arial"/>
                <w:sz w:val="20"/>
                <w:szCs w:val="20"/>
              </w:rPr>
              <w:t>Quarter 1 (January 1 – March 31)</w:t>
            </w:r>
            <w:r>
              <w:rPr>
                <w:rFonts w:ascii="Arial" w:hAnsi="Arial" w:cs="Arial"/>
                <w:sz w:val="20"/>
                <w:szCs w:val="20"/>
              </w:rPr>
              <w:t xml:space="preserve"> 2014</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p>
          <w:p w:rsidR="009A4B10" w:rsidRDefault="009E1E27" w:rsidP="0070592F">
            <w:pPr>
              <w:spacing w:before="120"/>
              <w:ind w:right="-720"/>
              <w:rPr>
                <w:rFonts w:ascii="Arial" w:hAnsi="Arial" w:cs="Arial"/>
                <w:sz w:val="20"/>
                <w:szCs w:val="20"/>
              </w:rPr>
            </w:pPr>
            <w:r>
              <w:rPr>
                <w:rFonts w:ascii="Agency FB" w:hAnsi="Agency FB" w:cs="Arial"/>
                <w:b/>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8E7D21" w:rsidP="0070592F">
            <w:pPr>
              <w:spacing w:before="120"/>
              <w:ind w:right="-720"/>
              <w:rPr>
                <w:rFonts w:ascii="Arial" w:hAnsi="Arial" w:cs="Arial"/>
                <w:sz w:val="20"/>
                <w:szCs w:val="20"/>
              </w:rPr>
            </w:pPr>
            <w:r>
              <w:rPr>
                <w:rFonts w:ascii="Arial" w:hAnsi="Arial" w:cs="Arial"/>
                <w:sz w:val="20"/>
                <w:szCs w:val="20"/>
              </w:rPr>
              <w:t>September 30, 2014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8E7D21" w:rsidP="0003476C">
            <w:pPr>
              <w:ind w:right="-720"/>
              <w:rPr>
                <w:rFonts w:ascii="Arial" w:hAnsi="Arial" w:cs="Arial"/>
                <w:sz w:val="20"/>
                <w:szCs w:val="20"/>
              </w:rPr>
            </w:pPr>
            <w:r>
              <w:rPr>
                <w:rFonts w:ascii="Arial" w:hAnsi="Arial" w:cs="Arial"/>
                <w:sz w:val="20"/>
                <w:szCs w:val="20"/>
              </w:rPr>
              <w:t>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F429C" w:rsidP="00A33242">
            <w:pPr>
              <w:spacing w:before="120"/>
              <w:ind w:right="-720"/>
              <w:jc w:val="center"/>
              <w:rPr>
                <w:rFonts w:ascii="Arial" w:hAnsi="Arial" w:cs="Arial"/>
                <w:sz w:val="20"/>
                <w:szCs w:val="20"/>
              </w:rPr>
            </w:pPr>
            <w:r>
              <w:rPr>
                <w:rFonts w:ascii="Arial" w:hAnsi="Arial" w:cs="Arial"/>
                <w:sz w:val="20"/>
                <w:szCs w:val="20"/>
              </w:rPr>
              <w:t>$1,037</w:t>
            </w:r>
            <w:r w:rsidR="008D1AB6">
              <w:rPr>
                <w:rFonts w:ascii="Arial" w:hAnsi="Arial" w:cs="Arial"/>
                <w:sz w:val="20"/>
                <w:szCs w:val="20"/>
              </w:rPr>
              <w:t>,129</w:t>
            </w:r>
            <w:r w:rsidR="00642352">
              <w:rPr>
                <w:rFonts w:ascii="Arial" w:hAnsi="Arial" w:cs="Arial"/>
                <w:sz w:val="20"/>
                <w:szCs w:val="20"/>
              </w:rPr>
              <w:t xml:space="preserve"> </w:t>
            </w:r>
          </w:p>
        </w:tc>
        <w:tc>
          <w:tcPr>
            <w:tcW w:w="3330" w:type="dxa"/>
          </w:tcPr>
          <w:p w:rsidR="00874EF7" w:rsidRPr="00B66A21" w:rsidRDefault="00B86930" w:rsidP="006B6D68">
            <w:pPr>
              <w:spacing w:before="120"/>
              <w:ind w:right="-720"/>
              <w:jc w:val="center"/>
              <w:rPr>
                <w:rFonts w:ascii="Arial" w:hAnsi="Arial" w:cs="Arial"/>
                <w:sz w:val="20"/>
                <w:szCs w:val="20"/>
              </w:rPr>
            </w:pPr>
            <w:r>
              <w:rPr>
                <w:rFonts w:ascii="Arial" w:hAnsi="Arial" w:cs="Arial"/>
                <w:sz w:val="20"/>
                <w:szCs w:val="20"/>
              </w:rPr>
              <w:t>$</w:t>
            </w:r>
            <w:r w:rsidR="00224E48">
              <w:rPr>
                <w:rFonts w:ascii="Arial" w:hAnsi="Arial" w:cs="Arial"/>
                <w:sz w:val="20"/>
                <w:szCs w:val="20"/>
              </w:rPr>
              <w:t>490,670.50</w:t>
            </w:r>
          </w:p>
        </w:tc>
        <w:tc>
          <w:tcPr>
            <w:tcW w:w="3420" w:type="dxa"/>
          </w:tcPr>
          <w:p w:rsidR="00874EF7" w:rsidRDefault="00224E48" w:rsidP="008D1AB6">
            <w:pPr>
              <w:spacing w:before="120"/>
              <w:ind w:right="-720"/>
              <w:jc w:val="center"/>
              <w:rPr>
                <w:rFonts w:ascii="Arial" w:hAnsi="Arial" w:cs="Arial"/>
                <w:sz w:val="20"/>
                <w:szCs w:val="20"/>
              </w:rPr>
            </w:pPr>
            <w:r>
              <w:rPr>
                <w:rFonts w:ascii="Arial" w:hAnsi="Arial" w:cs="Arial"/>
                <w:sz w:val="20"/>
                <w:szCs w:val="20"/>
              </w:rPr>
              <w:t>59</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224E48">
            <w:pPr>
              <w:spacing w:before="120"/>
              <w:ind w:right="-720"/>
              <w:jc w:val="center"/>
              <w:rPr>
                <w:rFonts w:ascii="Arial" w:hAnsi="Arial" w:cs="Arial"/>
                <w:sz w:val="20"/>
                <w:szCs w:val="20"/>
              </w:rPr>
            </w:pPr>
            <w:r>
              <w:rPr>
                <w:rFonts w:ascii="Arial" w:hAnsi="Arial" w:cs="Arial"/>
                <w:sz w:val="20"/>
                <w:szCs w:val="20"/>
              </w:rPr>
              <w:t>$</w:t>
            </w:r>
            <w:r w:rsidR="00224E48">
              <w:rPr>
                <w:rFonts w:ascii="Arial" w:hAnsi="Arial" w:cs="Arial"/>
                <w:sz w:val="20"/>
                <w:szCs w:val="20"/>
              </w:rPr>
              <w:t>490,670.5 (47.3</w:t>
            </w:r>
            <w:r w:rsidR="00014344">
              <w:rPr>
                <w:rFonts w:ascii="Arial" w:hAnsi="Arial" w:cs="Arial"/>
                <w:sz w:val="20"/>
                <w:szCs w:val="20"/>
              </w:rPr>
              <w:t>% of budget)</w:t>
            </w:r>
          </w:p>
        </w:tc>
        <w:tc>
          <w:tcPr>
            <w:tcW w:w="3330" w:type="dxa"/>
          </w:tcPr>
          <w:p w:rsidR="00B66A21" w:rsidRPr="00B66A21" w:rsidRDefault="00D838A4" w:rsidP="00224E48">
            <w:pPr>
              <w:spacing w:before="120"/>
              <w:ind w:right="-720"/>
              <w:jc w:val="center"/>
              <w:rPr>
                <w:rFonts w:ascii="Arial" w:hAnsi="Arial" w:cs="Arial"/>
                <w:sz w:val="20"/>
                <w:szCs w:val="20"/>
              </w:rPr>
            </w:pPr>
            <w:r>
              <w:rPr>
                <w:rFonts w:ascii="Arial" w:hAnsi="Arial" w:cs="Arial"/>
                <w:sz w:val="20"/>
                <w:szCs w:val="20"/>
              </w:rPr>
              <w:t>$</w:t>
            </w:r>
            <w:r w:rsidR="00224E48">
              <w:rPr>
                <w:rFonts w:ascii="Arial" w:hAnsi="Arial" w:cs="Arial"/>
                <w:sz w:val="20"/>
                <w:szCs w:val="20"/>
              </w:rPr>
              <w:t>24,382.65</w:t>
            </w:r>
          </w:p>
        </w:tc>
        <w:tc>
          <w:tcPr>
            <w:tcW w:w="3420" w:type="dxa"/>
          </w:tcPr>
          <w:p w:rsidR="00B66A21" w:rsidRDefault="00FF429C" w:rsidP="00014344">
            <w:pPr>
              <w:spacing w:before="120"/>
              <w:ind w:right="-720"/>
              <w:jc w:val="center"/>
              <w:rPr>
                <w:rFonts w:ascii="Arial" w:hAnsi="Arial" w:cs="Arial"/>
                <w:sz w:val="20"/>
                <w:szCs w:val="20"/>
              </w:rPr>
            </w:pPr>
            <w:r>
              <w:rPr>
                <w:rFonts w:ascii="Arial" w:hAnsi="Arial" w:cs="Arial"/>
                <w:sz w:val="20"/>
                <w:szCs w:val="20"/>
              </w:rPr>
              <w:t>85</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E1E27">
        <w:tc>
          <w:tcPr>
            <w:tcW w:w="1090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E1E27" w:rsidRDefault="009E1E27" w:rsidP="00551D8A">
            <w:pPr>
              <w:ind w:right="-720"/>
              <w:rPr>
                <w:rFonts w:ascii="Arial" w:hAnsi="Arial" w:cs="Arial"/>
                <w:b/>
                <w:sz w:val="20"/>
                <w:szCs w:val="20"/>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recently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 Progress on the project </w:t>
            </w:r>
            <w:r w:rsidR="00022040">
              <w:rPr>
                <w:rFonts w:cs="Tahoma"/>
              </w:rPr>
              <w:t>has been</w:t>
            </w:r>
            <w:r>
              <w:rPr>
                <w:rFonts w:cs="Tahoma"/>
              </w:rPr>
              <w:t xml:space="preserve"> delayed while the pooled fund administrative process clears the funding for the additional tasks.  The project is scheduled to be completed </w:t>
            </w:r>
            <w:r w:rsidR="00022040">
              <w:rPr>
                <w:rFonts w:cs="Tahoma"/>
              </w:rPr>
              <w:t>in 2014</w:t>
            </w:r>
            <w:r>
              <w:rPr>
                <w:rFonts w:cs="Tahoma"/>
              </w:rPr>
              <w:t xml:space="preserve">.  </w:t>
            </w:r>
          </w:p>
          <w:p w:rsidR="00A7193F" w:rsidRPr="000A5509" w:rsidRDefault="00A7193F" w:rsidP="008A7FB0">
            <w:pPr>
              <w:tabs>
                <w:tab w:val="left" w:pos="3330"/>
                <w:tab w:val="left" w:pos="3960"/>
              </w:tabs>
              <w:jc w:val="both"/>
              <w:rPr>
                <w:rFonts w:cstheme="minorHAnsi"/>
              </w:rPr>
            </w:pPr>
          </w:p>
          <w:p w:rsidR="00B157DF" w:rsidRPr="00B157DF" w:rsidRDefault="00B157DF" w:rsidP="00F601D5">
            <w:pPr>
              <w:autoSpaceDE w:val="0"/>
              <w:autoSpaceDN w:val="0"/>
              <w:adjustRightInd w:val="0"/>
              <w:rPr>
                <w:rFonts w:cs="Times New Roman"/>
              </w:rPr>
            </w:pPr>
            <w:r w:rsidRPr="00B157DF">
              <w:rPr>
                <w:rFonts w:cs="Times New Roman"/>
                <w:b/>
              </w:rPr>
              <w:t>4.75mm Study</w:t>
            </w:r>
          </w:p>
          <w:p w:rsidR="00B157DF" w:rsidRDefault="00B157DF" w:rsidP="00F601D5">
            <w:pPr>
              <w:autoSpaceDE w:val="0"/>
              <w:autoSpaceDN w:val="0"/>
              <w:adjustRightInd w:val="0"/>
              <w:rPr>
                <w:rFonts w:cs="Times New Roman"/>
              </w:rPr>
            </w:pPr>
            <w:r>
              <w:rPr>
                <w:rFonts w:cs="Times New Roman"/>
              </w:rPr>
              <w:t xml:space="preserve">The objective of this study is to </w:t>
            </w:r>
            <w:r w:rsidR="00FF1872">
              <w:rPr>
                <w:rFonts w:cs="Times New Roman"/>
              </w:rPr>
              <w:t>examine the performance of 4.75mm asphalt mixes with that of a 9.5mm mix used as a “control.” Comparisons will be made with neat asphalt and with modified asphalt using two aggregate sources. The binder modification will be made with polymers for one set of mixtures and with crumb rubber for an additional set of mixtures. Mixtures with PG64-22 neat asphalt will also be compared with the performance of mixtures with a PG 67-22 binder grade. Performance tests will be conducted to address the three distresses common to asphalt pavements - rutting, stripping, and cracking. The Hamburg device will be used to evaluate resistance to rutting and stripping, and the AMPT device will be used to evaluate resistance to reflective cracking.</w:t>
            </w:r>
          </w:p>
          <w:p w:rsidR="00B777F4" w:rsidRDefault="00B777F4" w:rsidP="00F601D5">
            <w:pPr>
              <w:autoSpaceDE w:val="0"/>
              <w:autoSpaceDN w:val="0"/>
              <w:adjustRightInd w:val="0"/>
              <w:rPr>
                <w:rFonts w:cs="Times New Roman"/>
              </w:rPr>
            </w:pPr>
          </w:p>
          <w:p w:rsidR="00B777F4" w:rsidRPr="00B157DF" w:rsidRDefault="00B777F4" w:rsidP="00F601D5">
            <w:pPr>
              <w:autoSpaceDE w:val="0"/>
              <w:autoSpaceDN w:val="0"/>
              <w:adjustRightInd w:val="0"/>
              <w:rPr>
                <w:rFonts w:cs="Times New Roman"/>
              </w:rPr>
            </w:pPr>
            <w:r>
              <w:rPr>
                <w:rFonts w:cs="Times New Roman"/>
              </w:rPr>
              <w:lastRenderedPageBreak/>
              <w:t xml:space="preserve">Testing of the </w:t>
            </w:r>
            <w:r w:rsidR="00224E48">
              <w:rPr>
                <w:rFonts w:cs="Times New Roman"/>
              </w:rPr>
              <w:t>asphalt</w:t>
            </w:r>
            <w:r>
              <w:rPr>
                <w:rFonts w:cs="Times New Roman"/>
              </w:rPr>
              <w:t xml:space="preserve"> mixes </w:t>
            </w:r>
            <w:r w:rsidR="00224E48">
              <w:rPr>
                <w:rFonts w:cs="Times New Roman"/>
              </w:rPr>
              <w:t xml:space="preserve">for this project </w:t>
            </w:r>
            <w:r w:rsidR="005140AD">
              <w:rPr>
                <w:rFonts w:cs="Times New Roman"/>
              </w:rPr>
              <w:t>is</w:t>
            </w:r>
            <w:r w:rsidR="00224E48">
              <w:rPr>
                <w:rFonts w:cs="Times New Roman"/>
              </w:rPr>
              <w:t xml:space="preserve"> </w:t>
            </w:r>
            <w:r>
              <w:rPr>
                <w:rFonts w:cs="Times New Roman"/>
              </w:rPr>
              <w:t>complete.</w:t>
            </w:r>
            <w:r w:rsidR="005140AD">
              <w:rPr>
                <w:rFonts w:cs="Times New Roman"/>
              </w:rPr>
              <w:t xml:space="preserve"> Preliminary results indicate that the 4.75 mm mi</w:t>
            </w:r>
            <w:r w:rsidR="00FF3B57">
              <w:rPr>
                <w:rFonts w:cs="Times New Roman"/>
              </w:rPr>
              <w:t>xes perform as good, or better,</w:t>
            </w:r>
            <w:r w:rsidR="005140AD">
              <w:rPr>
                <w:rFonts w:cs="Times New Roman"/>
              </w:rPr>
              <w:t xml:space="preserve"> in the Hamburg rut testing and moisture susceptibility testing as the 9.5 mm mix used as a control standard. The 4.75 mm mixes performed lower in the AMPT Overlay Test for resistance to reflective cracking than the 9.5 mm mix, and the polymer-modified binder performed better than the crumb rubber-modified binder</w:t>
            </w:r>
          </w:p>
          <w:p w:rsidR="006B6D68" w:rsidRDefault="006B6D68" w:rsidP="00F601D5">
            <w:pPr>
              <w:autoSpaceDE w:val="0"/>
              <w:autoSpaceDN w:val="0"/>
              <w:adjustRightInd w:val="0"/>
              <w:rPr>
                <w:rFonts w:cs="Times New Roman"/>
              </w:rPr>
            </w:pPr>
          </w:p>
          <w:p w:rsidR="00FF3B57" w:rsidRPr="00FF3B57" w:rsidRDefault="00FF3B57" w:rsidP="00F601D5">
            <w:pPr>
              <w:autoSpaceDE w:val="0"/>
              <w:autoSpaceDN w:val="0"/>
              <w:adjustRightInd w:val="0"/>
              <w:rPr>
                <w:rFonts w:cs="Times New Roman"/>
                <w:b/>
              </w:rPr>
            </w:pPr>
            <w:r w:rsidRPr="00FF3B57">
              <w:rPr>
                <w:rFonts w:cs="Times New Roman"/>
                <w:b/>
              </w:rPr>
              <w:t>Crumb Rubber Mixture</w:t>
            </w:r>
          </w:p>
          <w:p w:rsidR="00FF3B57" w:rsidRDefault="00FF3B57" w:rsidP="00F601D5">
            <w:pPr>
              <w:autoSpaceDE w:val="0"/>
              <w:autoSpaceDN w:val="0"/>
              <w:adjustRightInd w:val="0"/>
              <w:rPr>
                <w:rFonts w:cs="Times New Roman"/>
              </w:rPr>
            </w:pPr>
            <w:r>
              <w:rPr>
                <w:rFonts w:cs="Times New Roman"/>
              </w:rPr>
              <w:t>A study for Puerto Rico to evaluate the effect of crumb rubber in asphalt mixtures began last quarter. This quarter, additional friction testing and noise evaluation of the test sections was conducted. Performance will be compared over time with a standard Marshall mix with unmodified binder.</w:t>
            </w:r>
            <w:r w:rsidR="00E90052">
              <w:rPr>
                <w:rFonts w:cs="Times New Roman"/>
              </w:rPr>
              <w:t xml:space="preserve"> Initial testing conducted one month after construction indicated similar friction values for both the crumb rubber and standard mix sections.  Friction values were also similar to a four year old crumb rubber project</w:t>
            </w:r>
            <w:r w:rsidR="00300F3E">
              <w:rPr>
                <w:rFonts w:cs="Times New Roman"/>
              </w:rPr>
              <w:t>. The older project is performing well except that some individual aggregate pop-outs are beginning to occur.</w:t>
            </w:r>
          </w:p>
          <w:p w:rsidR="00FF3B57" w:rsidRPr="00B157DF" w:rsidRDefault="00FF3B57"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Default="006B6D68" w:rsidP="00F601D5">
            <w:pPr>
              <w:autoSpaceDE w:val="0"/>
              <w:autoSpaceDN w:val="0"/>
              <w:adjustRightInd w:val="0"/>
              <w:rPr>
                <w:rFonts w:cs="Times New Roman"/>
              </w:rPr>
            </w:pPr>
            <w:r w:rsidRPr="00B157DF">
              <w:rPr>
                <w:rFonts w:cs="Times New Roman"/>
              </w:rPr>
              <w:t>A series of technician training and certification courses</w:t>
            </w:r>
            <w:r w:rsidR="005140AD">
              <w:rPr>
                <w:rFonts w:cs="Times New Roman"/>
              </w:rPr>
              <w:t xml:space="preserve"> have been prepared in March and</w:t>
            </w:r>
            <w:r w:rsidRPr="00B157DF">
              <w:rPr>
                <w:rFonts w:cs="Times New Roman"/>
              </w:rPr>
              <w:t xml:space="preserve"> </w:t>
            </w:r>
            <w:r w:rsidR="00D86230">
              <w:rPr>
                <w:rFonts w:cs="Times New Roman"/>
              </w:rPr>
              <w:t xml:space="preserve">are scheduled </w:t>
            </w:r>
            <w:r w:rsidR="00923908">
              <w:rPr>
                <w:rFonts w:cs="Times New Roman"/>
              </w:rPr>
              <w:t>to begin in April, 2014</w:t>
            </w:r>
            <w:r w:rsidR="00D86230">
              <w:rPr>
                <w:rFonts w:cs="Times New Roman"/>
              </w:rPr>
              <w:t>.</w:t>
            </w:r>
            <w:r w:rsidR="005140AD">
              <w:rPr>
                <w:rFonts w:cs="Times New Roman"/>
              </w:rPr>
              <w:t xml:space="preserve"> Twelve courses have been scheduled for Puerto Rico.</w:t>
            </w:r>
          </w:p>
          <w:p w:rsidR="00022040" w:rsidRDefault="00022040" w:rsidP="00F601D5">
            <w:pPr>
              <w:autoSpaceDE w:val="0"/>
              <w:autoSpaceDN w:val="0"/>
              <w:adjustRightInd w:val="0"/>
              <w:rPr>
                <w:rFonts w:cs="Times New Roman"/>
              </w:rPr>
            </w:pPr>
          </w:p>
          <w:p w:rsidR="00022040" w:rsidRPr="00B157DF" w:rsidRDefault="00896EE4" w:rsidP="00F601D5">
            <w:pPr>
              <w:autoSpaceDE w:val="0"/>
              <w:autoSpaceDN w:val="0"/>
              <w:adjustRightInd w:val="0"/>
              <w:rPr>
                <w:rFonts w:cs="Times New Roman"/>
              </w:rPr>
            </w:pPr>
            <w:r>
              <w:rPr>
                <w:rFonts w:cs="Times New Roman"/>
              </w:rPr>
              <w:t xml:space="preserve">Additional training for Superpave binder and mix design certification for GDOT technicians is being planned in 2014. </w:t>
            </w:r>
            <w:r w:rsidR="005140AD">
              <w:rPr>
                <w:rFonts w:cs="Times New Roman"/>
              </w:rPr>
              <w:t xml:space="preserve">The binder course and mix design courses are scheduled </w:t>
            </w:r>
            <w:proofErr w:type="gramStart"/>
            <w:r w:rsidR="005140AD">
              <w:rPr>
                <w:rFonts w:cs="Times New Roman"/>
              </w:rPr>
              <w:t>for  June</w:t>
            </w:r>
            <w:proofErr w:type="gramEnd"/>
            <w:r w:rsidR="005140AD">
              <w:rPr>
                <w:rFonts w:cs="Times New Roman"/>
              </w:rPr>
              <w:t>.</w:t>
            </w:r>
          </w:p>
          <w:p w:rsidR="006E323B" w:rsidRDefault="006E323B" w:rsidP="006E323B">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0085367B">
              <w:rPr>
                <w:rFonts w:cstheme="minorHAnsi"/>
              </w:rPr>
              <w:t>,</w:t>
            </w:r>
            <w:r w:rsidR="00A61B04">
              <w:rPr>
                <w:rFonts w:cstheme="minorHAnsi"/>
              </w:rPr>
              <w:t xml:space="preserve"> AASHTO</w:t>
            </w:r>
            <w:r w:rsidR="0085367B">
              <w:rPr>
                <w:rFonts w:cstheme="minorHAnsi"/>
              </w:rPr>
              <w:t xml:space="preserve">, </w:t>
            </w:r>
            <w:r w:rsidR="00923908">
              <w:rPr>
                <w:rFonts w:cstheme="minorHAnsi"/>
              </w:rPr>
              <w:t xml:space="preserve">SEAUPG, </w:t>
            </w:r>
            <w:r w:rsidR="0085367B">
              <w:rPr>
                <w:rFonts w:cstheme="minorHAnsi"/>
              </w:rPr>
              <w:t>and national</w:t>
            </w:r>
            <w:r w:rsidR="00A61B04">
              <w:rPr>
                <w:rFonts w:cstheme="minorHAnsi"/>
              </w:rPr>
              <w:t xml:space="preserve"> </w:t>
            </w:r>
            <w:r w:rsidRPr="000A5509">
              <w:rPr>
                <w:rFonts w:cstheme="minorHAnsi"/>
              </w:rPr>
              <w:t>meetings</w:t>
            </w:r>
            <w:r w:rsidR="0085367B">
              <w:rPr>
                <w:rFonts w:cstheme="minorHAnsi"/>
              </w:rPr>
              <w:t xml:space="preserve"> of technical interest</w:t>
            </w:r>
            <w:r w:rsidRPr="000A5509">
              <w:rPr>
                <w:rFonts w:cstheme="minorHAnsi"/>
              </w:rPr>
              <w:t>.</w:t>
            </w:r>
            <w:r w:rsidR="008A72B7">
              <w:rPr>
                <w:rFonts w:cstheme="minorHAnsi"/>
              </w:rPr>
              <w:t xml:space="preserve"> </w:t>
            </w:r>
          </w:p>
          <w:p w:rsidR="00601EBD" w:rsidRDefault="00601EBD" w:rsidP="00551D8A">
            <w:pPr>
              <w:ind w:right="-720"/>
              <w:rPr>
                <w:rFonts w:ascii="Arial" w:hAnsi="Arial" w:cs="Arial"/>
                <w:sz w:val="20"/>
                <w:szCs w:val="20"/>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23274B" w:rsidRDefault="00896EE4" w:rsidP="00551D8A">
            <w:pPr>
              <w:ind w:right="-720"/>
            </w:pPr>
            <w:r>
              <w:t>Work is expected to</w:t>
            </w:r>
            <w:r w:rsidR="00A61B04">
              <w:t xml:space="preserve"> resume on the</w:t>
            </w:r>
            <w:r w:rsidR="00A7193F">
              <w:t xml:space="preserve"> LA DOTD </w:t>
            </w:r>
            <w:r w:rsidR="00A61B04">
              <w:t xml:space="preserve">project. The research panel has met and </w:t>
            </w:r>
          </w:p>
          <w:p w:rsidR="00BD258C" w:rsidRDefault="00D86230" w:rsidP="00551D8A">
            <w:pPr>
              <w:ind w:right="-720"/>
            </w:pPr>
            <w:proofErr w:type="gramStart"/>
            <w:r>
              <w:t>d</w:t>
            </w:r>
            <w:r w:rsidR="00A61B04">
              <w:t>ecided</w:t>
            </w:r>
            <w:proofErr w:type="gramEnd"/>
            <w:r w:rsidR="00C360D4">
              <w:t xml:space="preserve"> on</w:t>
            </w:r>
            <w:r w:rsidR="00A61B04">
              <w:t xml:space="preserve"> </w:t>
            </w:r>
            <w:r w:rsidR="00A7193F">
              <w:t>the</w:t>
            </w:r>
            <w:r w:rsidR="0023274B">
              <w:t xml:space="preserve"> </w:t>
            </w:r>
            <w:r w:rsidR="00C360D4">
              <w:t>type</w:t>
            </w:r>
            <w:r w:rsidR="00A7193F">
              <w:t xml:space="preserve"> of pavement distress</w:t>
            </w:r>
            <w:r w:rsidR="00C360D4">
              <w:t>es</w:t>
            </w:r>
            <w:r w:rsidR="00A7193F">
              <w:t xml:space="preserve"> to be</w:t>
            </w:r>
            <w:r w:rsidR="00A61B04">
              <w:t xml:space="preserve"> </w:t>
            </w:r>
            <w:r w:rsidR="00A7193F">
              <w:t xml:space="preserve">Included in the analysis. </w:t>
            </w:r>
          </w:p>
          <w:p w:rsidR="00BD258C" w:rsidRDefault="00BD258C" w:rsidP="00551D8A">
            <w:pPr>
              <w:ind w:right="-720"/>
            </w:pPr>
          </w:p>
          <w:p w:rsidR="0021446D" w:rsidRDefault="005140AD" w:rsidP="005140AD">
            <w:pPr>
              <w:ind w:right="-720"/>
            </w:pPr>
            <w:r>
              <w:t>A final report</w:t>
            </w:r>
            <w:r w:rsidR="0023274B">
              <w:t xml:space="preserve"> on </w:t>
            </w:r>
            <w:proofErr w:type="gramStart"/>
            <w:r w:rsidR="0023274B">
              <w:t>the  4.75</w:t>
            </w:r>
            <w:proofErr w:type="gramEnd"/>
            <w:r w:rsidR="0023274B">
              <w:t xml:space="preserve"> mm mix study </w:t>
            </w:r>
            <w:r>
              <w:t>will be submitted</w:t>
            </w:r>
            <w:r w:rsidR="0023274B">
              <w:t>.</w:t>
            </w:r>
          </w:p>
          <w:p w:rsidR="00C360D4" w:rsidRDefault="00C360D4" w:rsidP="00551D8A">
            <w:pPr>
              <w:ind w:right="-720"/>
            </w:pPr>
          </w:p>
          <w:p w:rsidR="00D86230" w:rsidRDefault="00FF3B57" w:rsidP="00551D8A">
            <w:pPr>
              <w:ind w:right="-720"/>
              <w:rPr>
                <w:rFonts w:ascii="Arial" w:hAnsi="Arial" w:cs="Arial"/>
                <w:sz w:val="20"/>
                <w:szCs w:val="20"/>
              </w:rPr>
            </w:pPr>
            <w:r>
              <w:t>A study of South Carolina aggregates used in OGFC mixtures has been agreed on and aggregates for that study should be submitted soon. The study will include a petrographic analysis of thin sections to evaluate mica content in the aggregate particles.</w:t>
            </w:r>
          </w:p>
          <w:p w:rsidR="00E54459" w:rsidRDefault="00E54459" w:rsidP="00551D8A">
            <w:pPr>
              <w:ind w:right="-720"/>
              <w:rPr>
                <w:rFonts w:ascii="Arial" w:hAnsi="Arial" w:cs="Arial"/>
                <w:sz w:val="20"/>
                <w:szCs w:val="20"/>
              </w:rPr>
            </w:pPr>
          </w:p>
        </w:tc>
      </w:tr>
      <w:tr w:rsidR="00601EBD" w:rsidTr="009E1E27">
        <w:tc>
          <w:tcPr>
            <w:tcW w:w="10908" w:type="dxa"/>
            <w:tcBorders>
              <w:top w:val="single" w:sz="4" w:space="0" w:color="auto"/>
              <w:left w:val="nil"/>
              <w:bottom w:val="single" w:sz="4" w:space="0" w:color="auto"/>
              <w:right w:val="nil"/>
            </w:tcBorders>
          </w:tcPr>
          <w:p w:rsidR="00601EBD" w:rsidRDefault="00601EBD" w:rsidP="00551D8A">
            <w:pPr>
              <w:ind w:right="-720"/>
              <w:rPr>
                <w:rFonts w:ascii="Arial" w:hAnsi="Arial" w:cs="Arial"/>
                <w:sz w:val="20"/>
                <w:szCs w:val="20"/>
              </w:rPr>
            </w:pPr>
          </w:p>
        </w:tc>
      </w:tr>
      <w:tr w:rsidR="00601EBD" w:rsidTr="009E1E27">
        <w:tc>
          <w:tcPr>
            <w:tcW w:w="1090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D86230" w:rsidRDefault="00D86230" w:rsidP="00551D8A">
            <w:pPr>
              <w:ind w:right="-720"/>
              <w:rPr>
                <w:rFonts w:ascii="Arial" w:hAnsi="Arial" w:cs="Arial"/>
                <w:sz w:val="20"/>
                <w:szCs w:val="20"/>
              </w:rPr>
            </w:pPr>
            <w:r w:rsidRPr="00D86230">
              <w:rPr>
                <w:rFonts w:ascii="Arial" w:hAnsi="Arial" w:cs="Arial"/>
                <w:sz w:val="20"/>
                <w:szCs w:val="20"/>
              </w:rPr>
              <w:t>N/A</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E1E27">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Pr="00A7193F" w:rsidRDefault="00923908" w:rsidP="00551D8A">
            <w:pPr>
              <w:ind w:right="-720"/>
              <w:rPr>
                <w:rFonts w:ascii="Arial" w:hAnsi="Arial" w:cs="Arial"/>
                <w:sz w:val="20"/>
                <w:szCs w:val="20"/>
              </w:rPr>
            </w:pPr>
            <w:r>
              <w:rPr>
                <w:rFonts w:ascii="Arial" w:hAnsi="Arial" w:cs="Arial"/>
                <w:sz w:val="20"/>
                <w:szCs w:val="20"/>
              </w:rPr>
              <w:t>The 4.75 mm mix study has been delayed while waiting on additional material to arrive.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bookmarkStart w:id="0" w:name="_GoBack"/>
      <w:bookmarkEnd w:id="0"/>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one agency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300F3E" w:rsidRDefault="00300F3E" w:rsidP="00551D8A">
            <w:pPr>
              <w:ind w:right="-720"/>
              <w:rPr>
                <w:rFonts w:cstheme="minorHAnsi"/>
              </w:rPr>
            </w:pPr>
          </w:p>
          <w:p w:rsidR="00300F3E" w:rsidRDefault="00300F3E" w:rsidP="00551D8A">
            <w:pPr>
              <w:ind w:right="-720"/>
              <w:rPr>
                <w:rFonts w:cstheme="minorHAnsi"/>
              </w:rPr>
            </w:pPr>
            <w:r>
              <w:rPr>
                <w:rFonts w:cstheme="minorHAnsi"/>
              </w:rPr>
              <w:t xml:space="preserve">The crumb rubber research is being used to verify the potential benefit of using ground tire rubber in asphalt mixes in </w:t>
            </w:r>
          </w:p>
          <w:p w:rsidR="00300F3E" w:rsidRPr="000A5509" w:rsidRDefault="00300F3E" w:rsidP="00551D8A">
            <w:pPr>
              <w:ind w:right="-720"/>
              <w:rPr>
                <w:rFonts w:cstheme="minorHAnsi"/>
              </w:rPr>
            </w:pPr>
            <w:proofErr w:type="gramStart"/>
            <w:r>
              <w:rPr>
                <w:rFonts w:cstheme="minorHAnsi"/>
              </w:rPr>
              <w:t>order</w:t>
            </w:r>
            <w:proofErr w:type="gramEnd"/>
            <w:r>
              <w:rPr>
                <w:rFonts w:cstheme="minorHAnsi"/>
              </w:rPr>
              <w:t xml:space="preserve"> to conserve the environment.</w:t>
            </w:r>
          </w:p>
          <w:p w:rsidR="00C3342B" w:rsidRPr="000A5509" w:rsidRDefault="00C3342B" w:rsidP="00551D8A">
            <w:pPr>
              <w:ind w:right="-720"/>
              <w:rPr>
                <w:rFonts w:cstheme="minorHAnsi"/>
              </w:rPr>
            </w:pPr>
          </w:p>
          <w:p w:rsidR="00C3342B" w:rsidRPr="000A5509" w:rsidRDefault="00D86230" w:rsidP="00551D8A">
            <w:pPr>
              <w:ind w:right="-720"/>
              <w:rPr>
                <w:rFonts w:cstheme="minorHAnsi"/>
              </w:rPr>
            </w:pPr>
            <w:bookmarkStart w:id="1" w:name="_Hlk370714645"/>
            <w:r>
              <w:rPr>
                <w:rFonts w:cstheme="minorHAnsi"/>
              </w:rPr>
              <w:t xml:space="preserve">The training and certification courses being developed and taught will help ensure qualified technicians who are                                                                       </w:t>
            </w:r>
          </w:p>
          <w:bookmarkEnd w:id="1"/>
          <w:p w:rsidR="00E35E0F" w:rsidRDefault="0085367B" w:rsidP="00551D8A">
            <w:pPr>
              <w:ind w:right="-720"/>
              <w:rPr>
                <w:rFonts w:ascii="Arial" w:hAnsi="Arial" w:cs="Arial"/>
                <w:sz w:val="20"/>
                <w:szCs w:val="20"/>
              </w:rPr>
            </w:pPr>
            <w:r>
              <w:rPr>
                <w:rFonts w:ascii="Arial" w:hAnsi="Arial" w:cs="Arial"/>
                <w:sz w:val="20"/>
                <w:szCs w:val="20"/>
              </w:rPr>
              <w:t>f</w:t>
            </w:r>
            <w:r w:rsidR="00D86230">
              <w:rPr>
                <w:rFonts w:ascii="Arial" w:hAnsi="Arial" w:cs="Arial"/>
                <w:sz w:val="20"/>
                <w:szCs w:val="20"/>
              </w:rPr>
              <w:t>amiliar with agency specifications and test procedures</w:t>
            </w:r>
            <w:r>
              <w:rPr>
                <w:rFonts w:ascii="Arial" w:hAnsi="Arial" w:cs="Arial"/>
                <w:sz w:val="20"/>
                <w:szCs w:val="20"/>
              </w:rPr>
              <w:t xml:space="preserve"> will be involved in the asphalt binder and mixture acceptance </w:t>
            </w:r>
          </w:p>
          <w:p w:rsidR="00E35E0F" w:rsidRDefault="0085367B" w:rsidP="00551D8A">
            <w:pPr>
              <w:ind w:right="-720"/>
              <w:rPr>
                <w:rFonts w:ascii="Arial" w:hAnsi="Arial" w:cs="Arial"/>
                <w:sz w:val="20"/>
                <w:szCs w:val="20"/>
              </w:rPr>
            </w:pPr>
            <w:proofErr w:type="gramStart"/>
            <w:r>
              <w:rPr>
                <w:rFonts w:ascii="Arial" w:hAnsi="Arial" w:cs="Arial"/>
                <w:sz w:val="20"/>
                <w:szCs w:val="20"/>
              </w:rPr>
              <w:t>process</w:t>
            </w:r>
            <w:proofErr w:type="gramEnd"/>
            <w:r>
              <w:rPr>
                <w:rFonts w:ascii="Arial" w:hAnsi="Arial" w:cs="Arial"/>
                <w:sz w:val="20"/>
                <w:szCs w:val="20"/>
              </w:rPr>
              <w:t>.</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673" w:rsidRDefault="00853673" w:rsidP="00106C83">
      <w:pPr>
        <w:spacing w:after="0" w:line="240" w:lineRule="auto"/>
      </w:pPr>
      <w:r>
        <w:separator/>
      </w:r>
    </w:p>
  </w:endnote>
  <w:endnote w:type="continuationSeparator" w:id="0">
    <w:p w:rsidR="00853673" w:rsidRDefault="0085367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673" w:rsidRDefault="00853673" w:rsidP="00106C83">
      <w:pPr>
        <w:spacing w:after="0" w:line="240" w:lineRule="auto"/>
      </w:pPr>
      <w:r>
        <w:separator/>
      </w:r>
    </w:p>
  </w:footnote>
  <w:footnote w:type="continuationSeparator" w:id="0">
    <w:p w:rsidR="00853673" w:rsidRDefault="0085367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22040"/>
    <w:rsid w:val="00037FBC"/>
    <w:rsid w:val="00040DFF"/>
    <w:rsid w:val="000736BB"/>
    <w:rsid w:val="00094A80"/>
    <w:rsid w:val="000A479C"/>
    <w:rsid w:val="000A5509"/>
    <w:rsid w:val="000B665A"/>
    <w:rsid w:val="000F1C8D"/>
    <w:rsid w:val="00106C83"/>
    <w:rsid w:val="001547D0"/>
    <w:rsid w:val="00161153"/>
    <w:rsid w:val="0021446D"/>
    <w:rsid w:val="00224E48"/>
    <w:rsid w:val="0022593F"/>
    <w:rsid w:val="0023274B"/>
    <w:rsid w:val="00293FD8"/>
    <w:rsid w:val="0029510E"/>
    <w:rsid w:val="002A79C8"/>
    <w:rsid w:val="002F0C9E"/>
    <w:rsid w:val="00300F3E"/>
    <w:rsid w:val="003413CE"/>
    <w:rsid w:val="0038705A"/>
    <w:rsid w:val="003F57C8"/>
    <w:rsid w:val="00407C07"/>
    <w:rsid w:val="004144E6"/>
    <w:rsid w:val="004156B2"/>
    <w:rsid w:val="00417A94"/>
    <w:rsid w:val="00437734"/>
    <w:rsid w:val="00463B3D"/>
    <w:rsid w:val="004B0BF4"/>
    <w:rsid w:val="004E14DC"/>
    <w:rsid w:val="004E46C6"/>
    <w:rsid w:val="004E75D6"/>
    <w:rsid w:val="005140AD"/>
    <w:rsid w:val="00535598"/>
    <w:rsid w:val="005370EC"/>
    <w:rsid w:val="00547EE3"/>
    <w:rsid w:val="00551D8A"/>
    <w:rsid w:val="00581B36"/>
    <w:rsid w:val="00583E8E"/>
    <w:rsid w:val="005F2FDD"/>
    <w:rsid w:val="006005B0"/>
    <w:rsid w:val="00601EBD"/>
    <w:rsid w:val="00623334"/>
    <w:rsid w:val="00642352"/>
    <w:rsid w:val="00682C5E"/>
    <w:rsid w:val="006B6D68"/>
    <w:rsid w:val="006C550E"/>
    <w:rsid w:val="006E323B"/>
    <w:rsid w:val="006E713B"/>
    <w:rsid w:val="0070592F"/>
    <w:rsid w:val="00743C01"/>
    <w:rsid w:val="007835FC"/>
    <w:rsid w:val="00790C4A"/>
    <w:rsid w:val="007E2786"/>
    <w:rsid w:val="007E5BD2"/>
    <w:rsid w:val="007E70C1"/>
    <w:rsid w:val="00821973"/>
    <w:rsid w:val="00826EB8"/>
    <w:rsid w:val="00835F96"/>
    <w:rsid w:val="00853673"/>
    <w:rsid w:val="0085367B"/>
    <w:rsid w:val="00872F18"/>
    <w:rsid w:val="00874EF7"/>
    <w:rsid w:val="00896EE4"/>
    <w:rsid w:val="008A72B7"/>
    <w:rsid w:val="008A7FB0"/>
    <w:rsid w:val="008D1AB6"/>
    <w:rsid w:val="008E7D21"/>
    <w:rsid w:val="008F3821"/>
    <w:rsid w:val="00923908"/>
    <w:rsid w:val="009574E5"/>
    <w:rsid w:val="009A4B10"/>
    <w:rsid w:val="009C7BEA"/>
    <w:rsid w:val="009E1E27"/>
    <w:rsid w:val="00A33242"/>
    <w:rsid w:val="00A43372"/>
    <w:rsid w:val="00A43875"/>
    <w:rsid w:val="00A61B04"/>
    <w:rsid w:val="00A63677"/>
    <w:rsid w:val="00A7193F"/>
    <w:rsid w:val="00AE46B0"/>
    <w:rsid w:val="00B157DF"/>
    <w:rsid w:val="00B2185C"/>
    <w:rsid w:val="00B40749"/>
    <w:rsid w:val="00B41A3A"/>
    <w:rsid w:val="00B47800"/>
    <w:rsid w:val="00B66A21"/>
    <w:rsid w:val="00B777F4"/>
    <w:rsid w:val="00B86930"/>
    <w:rsid w:val="00B923DF"/>
    <w:rsid w:val="00B931E2"/>
    <w:rsid w:val="00BC7CAA"/>
    <w:rsid w:val="00BD258C"/>
    <w:rsid w:val="00C04DFF"/>
    <w:rsid w:val="00C13753"/>
    <w:rsid w:val="00C3342B"/>
    <w:rsid w:val="00C360D4"/>
    <w:rsid w:val="00C70809"/>
    <w:rsid w:val="00C9575A"/>
    <w:rsid w:val="00CB5BC5"/>
    <w:rsid w:val="00CC1ED0"/>
    <w:rsid w:val="00D838A4"/>
    <w:rsid w:val="00D86230"/>
    <w:rsid w:val="00DB19D2"/>
    <w:rsid w:val="00DD5AD2"/>
    <w:rsid w:val="00DE1E59"/>
    <w:rsid w:val="00DE6888"/>
    <w:rsid w:val="00E12DBB"/>
    <w:rsid w:val="00E20ED3"/>
    <w:rsid w:val="00E35E0F"/>
    <w:rsid w:val="00E371D1"/>
    <w:rsid w:val="00E53738"/>
    <w:rsid w:val="00E54459"/>
    <w:rsid w:val="00E73363"/>
    <w:rsid w:val="00E90052"/>
    <w:rsid w:val="00EA3847"/>
    <w:rsid w:val="00ED5F67"/>
    <w:rsid w:val="00EF08AE"/>
    <w:rsid w:val="00EF5790"/>
    <w:rsid w:val="00F22A73"/>
    <w:rsid w:val="00F46C3D"/>
    <w:rsid w:val="00F601D5"/>
    <w:rsid w:val="00F75259"/>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6E4DB-FB1A-44D9-80C9-4D960B9D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2</cp:revision>
  <cp:lastPrinted>2011-06-21T20:32:00Z</cp:lastPrinted>
  <dcterms:created xsi:type="dcterms:W3CDTF">2014-04-15T23:19:00Z</dcterms:created>
  <dcterms:modified xsi:type="dcterms:W3CDTF">2014-04-15T23:19:00Z</dcterms:modified>
</cp:coreProperties>
</file>