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7A58B6"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6914B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8233C6"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8233C6" w:rsidP="008233C6">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742B61">
              <w:rPr>
                <w:rFonts w:ascii="Arial" w:hAnsi="Arial" w:cs="Arial"/>
                <w:sz w:val="20"/>
                <w:szCs w:val="20"/>
              </w:rPr>
              <w:t xml:space="preserve">Quarter 4 (October </w:t>
            </w:r>
            <w:r>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9"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C369A2">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D74A70" w:rsidTr="00742B61">
        <w:tc>
          <w:tcPr>
            <w:tcW w:w="4158" w:type="dxa"/>
            <w:shd w:val="clear" w:color="auto" w:fill="auto"/>
          </w:tcPr>
          <w:p w:rsidR="00646884" w:rsidRPr="00D74A70" w:rsidRDefault="00646884" w:rsidP="00742B61">
            <w:pPr>
              <w:spacing w:after="0" w:line="240" w:lineRule="auto"/>
              <w:ind w:right="-720"/>
              <w:rPr>
                <w:rFonts w:ascii="Arial" w:hAnsi="Arial" w:cs="Arial"/>
                <w:sz w:val="20"/>
                <w:szCs w:val="20"/>
              </w:rPr>
            </w:pPr>
            <w:r w:rsidRPr="00D74A70">
              <w:rPr>
                <w:rFonts w:ascii="Arial" w:hAnsi="Arial" w:cs="Arial"/>
                <w:sz w:val="20"/>
                <w:szCs w:val="20"/>
              </w:rPr>
              <w:t xml:space="preserve">$2,200,000 (5 year estimated budget, final </w:t>
            </w:r>
          </w:p>
          <w:p w:rsidR="00646884" w:rsidRPr="00D74A70" w:rsidRDefault="00646884" w:rsidP="00742B61">
            <w:pPr>
              <w:spacing w:after="0" w:line="240" w:lineRule="auto"/>
              <w:ind w:right="-720"/>
              <w:rPr>
                <w:rFonts w:ascii="Arial" w:hAnsi="Arial" w:cs="Arial"/>
                <w:sz w:val="20"/>
                <w:szCs w:val="20"/>
              </w:rPr>
            </w:pPr>
            <w:r w:rsidRPr="00D74A70">
              <w:rPr>
                <w:rFonts w:ascii="Arial" w:hAnsi="Arial" w:cs="Arial"/>
                <w:sz w:val="20"/>
                <w:szCs w:val="20"/>
              </w:rPr>
              <w:t>Budget dependent on member contributions)</w:t>
            </w:r>
          </w:p>
        </w:tc>
        <w:tc>
          <w:tcPr>
            <w:tcW w:w="3330" w:type="dxa"/>
            <w:shd w:val="clear" w:color="auto" w:fill="auto"/>
          </w:tcPr>
          <w:p w:rsidR="005A72D7" w:rsidRPr="0040579E" w:rsidRDefault="00646884" w:rsidP="005154B2">
            <w:pPr>
              <w:spacing w:after="0" w:line="240" w:lineRule="auto"/>
              <w:ind w:right="-720"/>
              <w:jc w:val="center"/>
              <w:rPr>
                <w:rFonts w:ascii="Arial" w:hAnsi="Arial" w:cs="Arial"/>
                <w:sz w:val="20"/>
                <w:szCs w:val="20"/>
              </w:rPr>
            </w:pPr>
            <w:r w:rsidRPr="0040579E">
              <w:rPr>
                <w:rFonts w:ascii="Arial" w:hAnsi="Arial" w:cs="Arial"/>
                <w:sz w:val="20"/>
                <w:szCs w:val="20"/>
              </w:rPr>
              <w:t>$</w:t>
            </w:r>
            <w:r w:rsidR="005154B2" w:rsidRPr="0040579E">
              <w:rPr>
                <w:rFonts w:ascii="Arial" w:hAnsi="Arial" w:cs="Arial"/>
                <w:sz w:val="20"/>
                <w:szCs w:val="20"/>
              </w:rPr>
              <w:t>896,582</w:t>
            </w:r>
          </w:p>
        </w:tc>
        <w:tc>
          <w:tcPr>
            <w:tcW w:w="3420" w:type="dxa"/>
            <w:shd w:val="clear" w:color="auto" w:fill="auto"/>
          </w:tcPr>
          <w:p w:rsidR="00646884" w:rsidRPr="0040579E" w:rsidRDefault="005154B2" w:rsidP="000A37B8">
            <w:pPr>
              <w:spacing w:after="0" w:line="240" w:lineRule="auto"/>
              <w:jc w:val="center"/>
              <w:rPr>
                <w:rFonts w:ascii="Arial" w:hAnsi="Arial" w:cs="Arial"/>
                <w:sz w:val="20"/>
                <w:szCs w:val="20"/>
              </w:rPr>
            </w:pPr>
            <w:r w:rsidRPr="0040579E">
              <w:rPr>
                <w:rFonts w:ascii="Arial" w:hAnsi="Arial" w:cs="Arial"/>
                <w:sz w:val="20"/>
                <w:szCs w:val="20"/>
              </w:rPr>
              <w:t>40</w:t>
            </w:r>
            <w:r w:rsidR="00646884" w:rsidRPr="0040579E">
              <w:rPr>
                <w:rFonts w:ascii="Arial" w:hAnsi="Arial" w:cs="Arial"/>
                <w:sz w:val="20"/>
                <w:szCs w:val="20"/>
              </w:rPr>
              <w:t>%</w:t>
            </w:r>
          </w:p>
          <w:p w:rsidR="00646884" w:rsidRPr="0040579E" w:rsidRDefault="00646884" w:rsidP="003F4D1D">
            <w:pPr>
              <w:spacing w:after="0" w:line="240" w:lineRule="auto"/>
              <w:ind w:right="-720"/>
              <w:rPr>
                <w:rFonts w:ascii="Arial" w:hAnsi="Arial" w:cs="Arial"/>
                <w:sz w:val="20"/>
                <w:szCs w:val="20"/>
              </w:rPr>
            </w:pPr>
          </w:p>
        </w:tc>
      </w:tr>
    </w:tbl>
    <w:p w:rsidR="00743C01" w:rsidRPr="00D74A70" w:rsidRDefault="00743C01" w:rsidP="00551D8A">
      <w:pPr>
        <w:spacing w:after="0"/>
        <w:ind w:left="-720" w:right="-720"/>
        <w:rPr>
          <w:rFonts w:ascii="Arial" w:hAnsi="Arial" w:cs="Arial"/>
          <w:sz w:val="20"/>
          <w:szCs w:val="20"/>
        </w:rPr>
      </w:pPr>
    </w:p>
    <w:p w:rsidR="00B66A21" w:rsidRPr="00D74A70" w:rsidRDefault="00B66A21" w:rsidP="00551D8A">
      <w:pPr>
        <w:spacing w:after="0"/>
        <w:ind w:left="-720" w:right="-720"/>
        <w:rPr>
          <w:rFonts w:ascii="Arial" w:hAnsi="Arial" w:cs="Arial"/>
          <w:sz w:val="20"/>
          <w:szCs w:val="20"/>
        </w:rPr>
      </w:pPr>
      <w:r w:rsidRPr="00D74A70">
        <w:rPr>
          <w:rFonts w:ascii="Arial" w:hAnsi="Arial" w:cs="Arial"/>
          <w:b/>
          <w:i/>
          <w:sz w:val="20"/>
          <w:szCs w:val="20"/>
        </w:rPr>
        <w:t>Quarterly</w:t>
      </w:r>
      <w:r w:rsidRPr="00D74A70">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D74A70" w:rsidTr="003A097E">
        <w:trPr>
          <w:trHeight w:val="530"/>
        </w:trPr>
        <w:tc>
          <w:tcPr>
            <w:tcW w:w="4158" w:type="dxa"/>
            <w:shd w:val="pct15" w:color="auto" w:fill="auto"/>
          </w:tcPr>
          <w:p w:rsidR="004E14DC" w:rsidRPr="00D74A70" w:rsidRDefault="00B2185C" w:rsidP="00742B61">
            <w:pPr>
              <w:spacing w:after="0" w:line="240" w:lineRule="auto"/>
              <w:ind w:right="-720"/>
              <w:rPr>
                <w:rFonts w:ascii="Arial" w:hAnsi="Arial" w:cs="Arial"/>
                <w:b/>
                <w:sz w:val="20"/>
                <w:szCs w:val="20"/>
              </w:rPr>
            </w:pPr>
            <w:r w:rsidRPr="00D74A70">
              <w:rPr>
                <w:rFonts w:ascii="Arial" w:hAnsi="Arial" w:cs="Arial"/>
                <w:b/>
                <w:sz w:val="20"/>
                <w:szCs w:val="20"/>
              </w:rPr>
              <w:t xml:space="preserve">        </w:t>
            </w:r>
            <w:r w:rsidR="004E14DC" w:rsidRPr="00D74A70">
              <w:rPr>
                <w:rFonts w:ascii="Arial" w:hAnsi="Arial" w:cs="Arial"/>
                <w:b/>
                <w:sz w:val="20"/>
                <w:szCs w:val="20"/>
              </w:rPr>
              <w:t xml:space="preserve">         </w:t>
            </w:r>
            <w:r w:rsidR="00B66A21" w:rsidRPr="00D74A70">
              <w:rPr>
                <w:rFonts w:ascii="Arial" w:hAnsi="Arial" w:cs="Arial"/>
                <w:b/>
                <w:sz w:val="20"/>
                <w:szCs w:val="20"/>
              </w:rPr>
              <w:t>Total</w:t>
            </w:r>
            <w:r w:rsidR="004E14DC" w:rsidRPr="00D74A70">
              <w:rPr>
                <w:rFonts w:ascii="Arial" w:hAnsi="Arial" w:cs="Arial"/>
                <w:b/>
                <w:sz w:val="20"/>
                <w:szCs w:val="20"/>
              </w:rPr>
              <w:t xml:space="preserve"> Project Expenses</w:t>
            </w:r>
          </w:p>
          <w:p w:rsidR="00B66A21" w:rsidRPr="00D74A70" w:rsidRDefault="004E14DC" w:rsidP="00742B61">
            <w:pPr>
              <w:spacing w:after="0" w:line="240" w:lineRule="auto"/>
              <w:ind w:right="-720"/>
              <w:rPr>
                <w:rFonts w:ascii="Arial" w:hAnsi="Arial" w:cs="Arial"/>
                <w:b/>
                <w:sz w:val="20"/>
                <w:szCs w:val="20"/>
              </w:rPr>
            </w:pPr>
            <w:r w:rsidRPr="00D74A70">
              <w:rPr>
                <w:rFonts w:ascii="Arial" w:hAnsi="Arial" w:cs="Arial"/>
                <w:b/>
                <w:sz w:val="20"/>
                <w:szCs w:val="20"/>
              </w:rPr>
              <w:t xml:space="preserve">                          This Quarter</w:t>
            </w:r>
          </w:p>
        </w:tc>
        <w:tc>
          <w:tcPr>
            <w:tcW w:w="3330" w:type="dxa"/>
            <w:shd w:val="pct15" w:color="auto" w:fill="auto"/>
          </w:tcPr>
          <w:p w:rsidR="00C13753" w:rsidRPr="00D74A70" w:rsidRDefault="00B2185C" w:rsidP="00742B61">
            <w:pPr>
              <w:spacing w:after="0" w:line="240" w:lineRule="auto"/>
              <w:ind w:right="-720"/>
              <w:rPr>
                <w:rFonts w:ascii="Arial" w:hAnsi="Arial" w:cs="Arial"/>
                <w:b/>
                <w:sz w:val="20"/>
                <w:szCs w:val="20"/>
              </w:rPr>
            </w:pPr>
            <w:r w:rsidRPr="00D74A70">
              <w:rPr>
                <w:rFonts w:ascii="Arial" w:hAnsi="Arial" w:cs="Arial"/>
                <w:b/>
                <w:sz w:val="20"/>
                <w:szCs w:val="20"/>
              </w:rPr>
              <w:t xml:space="preserve"> </w:t>
            </w:r>
            <w:r w:rsidR="00C13753" w:rsidRPr="00D74A70">
              <w:rPr>
                <w:rFonts w:ascii="Arial" w:hAnsi="Arial" w:cs="Arial"/>
                <w:b/>
                <w:sz w:val="20"/>
                <w:szCs w:val="20"/>
              </w:rPr>
              <w:t xml:space="preserve">    </w:t>
            </w:r>
            <w:r w:rsidR="004E14DC" w:rsidRPr="00D74A70">
              <w:rPr>
                <w:rFonts w:ascii="Arial" w:hAnsi="Arial" w:cs="Arial"/>
                <w:b/>
                <w:sz w:val="20"/>
                <w:szCs w:val="20"/>
              </w:rPr>
              <w:t xml:space="preserve">Total Amount </w:t>
            </w:r>
            <w:r w:rsidR="00A43875" w:rsidRPr="00D74A70">
              <w:rPr>
                <w:rFonts w:ascii="Arial" w:hAnsi="Arial" w:cs="Arial"/>
                <w:b/>
                <w:sz w:val="20"/>
                <w:szCs w:val="20"/>
              </w:rPr>
              <w:t xml:space="preserve">of </w:t>
            </w:r>
            <w:r w:rsidR="00B66A21" w:rsidRPr="00D74A70">
              <w:rPr>
                <w:rFonts w:ascii="Arial" w:hAnsi="Arial" w:cs="Arial"/>
                <w:b/>
                <w:sz w:val="20"/>
                <w:szCs w:val="20"/>
              </w:rPr>
              <w:t xml:space="preserve"> Funds </w:t>
            </w:r>
          </w:p>
          <w:p w:rsidR="00B66A21" w:rsidRPr="00D74A70" w:rsidRDefault="00C13753" w:rsidP="00742B61">
            <w:pPr>
              <w:spacing w:after="0" w:line="240" w:lineRule="auto"/>
              <w:ind w:right="-720"/>
              <w:rPr>
                <w:rFonts w:ascii="Arial" w:hAnsi="Arial" w:cs="Arial"/>
                <w:b/>
                <w:sz w:val="20"/>
                <w:szCs w:val="20"/>
              </w:rPr>
            </w:pPr>
            <w:r w:rsidRPr="00D74A70">
              <w:rPr>
                <w:rFonts w:ascii="Arial" w:hAnsi="Arial" w:cs="Arial"/>
                <w:b/>
                <w:sz w:val="20"/>
                <w:szCs w:val="20"/>
              </w:rPr>
              <w:t xml:space="preserve">      </w:t>
            </w:r>
            <w:r w:rsidR="00B66A21" w:rsidRPr="00D74A70">
              <w:rPr>
                <w:rFonts w:ascii="Arial" w:hAnsi="Arial" w:cs="Arial"/>
                <w:b/>
                <w:sz w:val="20"/>
                <w:szCs w:val="20"/>
              </w:rPr>
              <w:t>Expended</w:t>
            </w:r>
            <w:r w:rsidR="004E14DC" w:rsidRPr="00D74A70">
              <w:rPr>
                <w:rFonts w:ascii="Arial" w:hAnsi="Arial" w:cs="Arial"/>
                <w:b/>
                <w:sz w:val="20"/>
                <w:szCs w:val="20"/>
              </w:rPr>
              <w:t xml:space="preserve"> This Quarter</w:t>
            </w:r>
          </w:p>
        </w:tc>
        <w:tc>
          <w:tcPr>
            <w:tcW w:w="3420" w:type="dxa"/>
            <w:shd w:val="pct15" w:color="auto" w:fill="auto"/>
          </w:tcPr>
          <w:p w:rsidR="00B66A21" w:rsidRPr="00D74A70" w:rsidRDefault="004E14DC" w:rsidP="00742B61">
            <w:pPr>
              <w:spacing w:after="0" w:line="240" w:lineRule="auto"/>
              <w:ind w:right="-720"/>
              <w:rPr>
                <w:rFonts w:ascii="Arial" w:hAnsi="Arial" w:cs="Arial"/>
                <w:b/>
                <w:sz w:val="20"/>
                <w:szCs w:val="20"/>
              </w:rPr>
            </w:pPr>
            <w:r w:rsidRPr="00D74A70">
              <w:rPr>
                <w:rFonts w:ascii="Arial" w:hAnsi="Arial" w:cs="Arial"/>
                <w:b/>
                <w:sz w:val="20"/>
                <w:szCs w:val="20"/>
              </w:rPr>
              <w:t>Percentage of Work Completed</w:t>
            </w:r>
          </w:p>
          <w:p w:rsidR="004E14DC" w:rsidRPr="00D74A70" w:rsidRDefault="004E14DC" w:rsidP="00742B61">
            <w:pPr>
              <w:spacing w:after="0" w:line="240" w:lineRule="auto"/>
              <w:ind w:right="-720"/>
              <w:rPr>
                <w:rFonts w:ascii="Arial" w:hAnsi="Arial" w:cs="Arial"/>
                <w:b/>
                <w:sz w:val="20"/>
                <w:szCs w:val="20"/>
              </w:rPr>
            </w:pPr>
            <w:r w:rsidRPr="00D74A70">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40579E" w:rsidRDefault="003A097E" w:rsidP="005154B2">
            <w:pPr>
              <w:spacing w:after="0" w:line="240" w:lineRule="auto"/>
              <w:ind w:right="72"/>
              <w:jc w:val="center"/>
              <w:rPr>
                <w:rFonts w:ascii="Arial" w:hAnsi="Arial" w:cs="Arial"/>
                <w:sz w:val="20"/>
                <w:szCs w:val="20"/>
              </w:rPr>
            </w:pPr>
            <w:r w:rsidRPr="0040579E">
              <w:rPr>
                <w:rFonts w:ascii="Arial" w:hAnsi="Arial" w:cs="Arial"/>
                <w:sz w:val="20"/>
                <w:szCs w:val="20"/>
              </w:rPr>
              <w:t>$</w:t>
            </w:r>
            <w:r w:rsidR="005154B2" w:rsidRPr="0040579E">
              <w:rPr>
                <w:rFonts w:ascii="Arial" w:hAnsi="Arial" w:cs="Arial"/>
                <w:sz w:val="20"/>
                <w:szCs w:val="20"/>
              </w:rPr>
              <w:t>105,696</w:t>
            </w:r>
          </w:p>
        </w:tc>
        <w:tc>
          <w:tcPr>
            <w:tcW w:w="3330" w:type="dxa"/>
            <w:shd w:val="clear" w:color="auto" w:fill="auto"/>
          </w:tcPr>
          <w:p w:rsidR="00646884" w:rsidRPr="0040579E" w:rsidRDefault="005A72D7" w:rsidP="005154B2">
            <w:pPr>
              <w:spacing w:after="0" w:line="240" w:lineRule="auto"/>
              <w:ind w:right="-720"/>
              <w:jc w:val="center"/>
              <w:rPr>
                <w:rFonts w:ascii="Arial" w:hAnsi="Arial" w:cs="Arial"/>
                <w:sz w:val="20"/>
                <w:szCs w:val="20"/>
              </w:rPr>
            </w:pPr>
            <w:r w:rsidRPr="0040579E">
              <w:rPr>
                <w:rFonts w:ascii="Arial" w:hAnsi="Arial" w:cs="Arial"/>
                <w:sz w:val="20"/>
                <w:szCs w:val="20"/>
              </w:rPr>
              <w:t>$</w:t>
            </w:r>
            <w:r w:rsidR="005154B2" w:rsidRPr="0040579E">
              <w:rPr>
                <w:rFonts w:ascii="Arial" w:hAnsi="Arial" w:cs="Arial"/>
                <w:sz w:val="20"/>
                <w:szCs w:val="20"/>
              </w:rPr>
              <w:t>105,696</w:t>
            </w:r>
          </w:p>
        </w:tc>
        <w:tc>
          <w:tcPr>
            <w:tcW w:w="3420" w:type="dxa"/>
            <w:shd w:val="clear" w:color="auto" w:fill="auto"/>
          </w:tcPr>
          <w:p w:rsidR="00646884" w:rsidRPr="0040579E" w:rsidRDefault="00D74A70" w:rsidP="000A37B8">
            <w:pPr>
              <w:spacing w:after="0" w:line="240" w:lineRule="auto"/>
              <w:jc w:val="center"/>
              <w:rPr>
                <w:rFonts w:ascii="Arial" w:hAnsi="Arial" w:cs="Arial"/>
                <w:sz w:val="20"/>
                <w:szCs w:val="20"/>
              </w:rPr>
            </w:pPr>
            <w:r w:rsidRPr="0040579E">
              <w:rPr>
                <w:rFonts w:ascii="Arial" w:hAnsi="Arial" w:cs="Arial"/>
                <w:sz w:val="20"/>
                <w:szCs w:val="20"/>
              </w:rPr>
              <w:t>5</w:t>
            </w:r>
            <w:r w:rsidR="00646884" w:rsidRPr="0040579E">
              <w:rPr>
                <w:rFonts w:ascii="Arial" w:hAnsi="Arial" w:cs="Arial"/>
                <w:sz w:val="20"/>
                <w:szCs w:val="20"/>
              </w:rPr>
              <w:t>%</w:t>
            </w:r>
          </w:p>
          <w:p w:rsidR="00646884" w:rsidRPr="0040579E"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00058A" w:rsidRDefault="00765F74" w:rsidP="0000058A">
      <w:pPr>
        <w:spacing w:line="240" w:lineRule="auto"/>
        <w:rPr>
          <w:rFonts w:ascii="Arial" w:hAnsi="Arial" w:cs="Arial"/>
          <w:sz w:val="20"/>
          <w:szCs w:val="20"/>
        </w:rPr>
      </w:pPr>
      <w:r w:rsidRPr="0000058A">
        <w:rPr>
          <w:rFonts w:ascii="Arial" w:hAnsi="Arial" w:cs="Arial"/>
          <w:sz w:val="20"/>
          <w:szCs w:val="20"/>
        </w:rPr>
        <w:t>Administrative/Management Task:</w:t>
      </w:r>
    </w:p>
    <w:p w:rsidR="0003145A" w:rsidRPr="0000058A" w:rsidRDefault="008233C6" w:rsidP="0000058A">
      <w:pPr>
        <w:numPr>
          <w:ilvl w:val="0"/>
          <w:numId w:val="10"/>
        </w:numPr>
        <w:spacing w:after="0" w:line="240" w:lineRule="auto"/>
        <w:rPr>
          <w:rFonts w:ascii="Arial" w:hAnsi="Arial" w:cs="Arial"/>
          <w:sz w:val="20"/>
          <w:szCs w:val="20"/>
        </w:rPr>
      </w:pPr>
      <w:r>
        <w:rPr>
          <w:rFonts w:ascii="Arial" w:hAnsi="Arial" w:cs="Arial"/>
          <w:sz w:val="20"/>
          <w:szCs w:val="20"/>
        </w:rPr>
        <w:t xml:space="preserve">Three </w:t>
      </w:r>
      <w:r w:rsidR="006914B8" w:rsidRPr="0000058A">
        <w:rPr>
          <w:rFonts w:ascii="Arial" w:hAnsi="Arial" w:cs="Arial"/>
          <w:sz w:val="20"/>
          <w:szCs w:val="20"/>
        </w:rPr>
        <w:t>conference</w:t>
      </w:r>
      <w:r w:rsidR="00905690" w:rsidRPr="0000058A">
        <w:rPr>
          <w:rFonts w:ascii="Arial" w:hAnsi="Arial" w:cs="Arial"/>
          <w:sz w:val="20"/>
          <w:szCs w:val="20"/>
        </w:rPr>
        <w:t xml:space="preserve"> call</w:t>
      </w:r>
      <w:r>
        <w:rPr>
          <w:rFonts w:ascii="Arial" w:hAnsi="Arial" w:cs="Arial"/>
          <w:sz w:val="20"/>
          <w:szCs w:val="20"/>
        </w:rPr>
        <w:t>s</w:t>
      </w:r>
      <w:r w:rsidR="00765F74" w:rsidRPr="0000058A">
        <w:rPr>
          <w:rFonts w:ascii="Arial" w:hAnsi="Arial" w:cs="Arial"/>
          <w:sz w:val="20"/>
          <w:szCs w:val="20"/>
        </w:rPr>
        <w:t xml:space="preserve"> </w:t>
      </w:r>
      <w:r>
        <w:rPr>
          <w:rFonts w:ascii="Arial" w:hAnsi="Arial" w:cs="Arial"/>
          <w:sz w:val="20"/>
          <w:szCs w:val="20"/>
        </w:rPr>
        <w:t>were</w:t>
      </w:r>
      <w:r w:rsidR="00011702" w:rsidRPr="0000058A">
        <w:rPr>
          <w:rFonts w:ascii="Arial" w:hAnsi="Arial" w:cs="Arial"/>
          <w:sz w:val="20"/>
          <w:szCs w:val="20"/>
        </w:rPr>
        <w:t xml:space="preserve"> held during the</w:t>
      </w:r>
      <w:r w:rsidR="00C369A2" w:rsidRPr="0000058A">
        <w:rPr>
          <w:rFonts w:ascii="Arial" w:hAnsi="Arial" w:cs="Arial"/>
          <w:sz w:val="20"/>
          <w:szCs w:val="20"/>
        </w:rPr>
        <w:t xml:space="preserve"> </w:t>
      </w:r>
      <w:r>
        <w:rPr>
          <w:rFonts w:ascii="Arial" w:hAnsi="Arial" w:cs="Arial"/>
          <w:sz w:val="20"/>
          <w:szCs w:val="20"/>
        </w:rPr>
        <w:t>4</w:t>
      </w:r>
      <w:r w:rsidRPr="008233C6">
        <w:rPr>
          <w:rFonts w:ascii="Arial" w:hAnsi="Arial" w:cs="Arial"/>
          <w:sz w:val="20"/>
          <w:szCs w:val="20"/>
          <w:vertAlign w:val="superscript"/>
        </w:rPr>
        <w:t>th</w:t>
      </w:r>
      <w:r>
        <w:rPr>
          <w:rFonts w:ascii="Arial" w:hAnsi="Arial" w:cs="Arial"/>
          <w:sz w:val="20"/>
          <w:szCs w:val="20"/>
        </w:rPr>
        <w:t xml:space="preserve"> </w:t>
      </w:r>
      <w:r w:rsidR="00011702" w:rsidRPr="0000058A">
        <w:rPr>
          <w:rFonts w:ascii="Arial" w:hAnsi="Arial" w:cs="Arial"/>
          <w:sz w:val="20"/>
          <w:szCs w:val="20"/>
        </w:rPr>
        <w:t>Quarter wi</w:t>
      </w:r>
      <w:r w:rsidR="007A58B6" w:rsidRPr="0000058A">
        <w:rPr>
          <w:rFonts w:ascii="Arial" w:hAnsi="Arial" w:cs="Arial"/>
          <w:sz w:val="20"/>
          <w:szCs w:val="20"/>
        </w:rPr>
        <w:t>th the ENTERPRISE board members.</w:t>
      </w:r>
    </w:p>
    <w:p w:rsidR="00011702" w:rsidRPr="0000058A" w:rsidRDefault="00011702" w:rsidP="0000058A">
      <w:pPr>
        <w:spacing w:line="240" w:lineRule="auto"/>
        <w:rPr>
          <w:rFonts w:ascii="Arial" w:hAnsi="Arial" w:cs="Arial"/>
          <w:sz w:val="20"/>
          <w:szCs w:val="20"/>
        </w:rPr>
      </w:pPr>
    </w:p>
    <w:p w:rsidR="00E6245D" w:rsidRPr="0000058A" w:rsidRDefault="008A44F2" w:rsidP="0000058A">
      <w:pPr>
        <w:spacing w:line="240" w:lineRule="auto"/>
        <w:rPr>
          <w:rFonts w:ascii="Arial" w:hAnsi="Arial" w:cs="Arial"/>
          <w:sz w:val="20"/>
          <w:szCs w:val="20"/>
        </w:rPr>
      </w:pPr>
      <w:r w:rsidRPr="0000058A">
        <w:rPr>
          <w:rFonts w:ascii="Arial" w:hAnsi="Arial" w:cs="Arial"/>
          <w:sz w:val="20"/>
          <w:szCs w:val="20"/>
        </w:rPr>
        <w:t>Technical Task:</w:t>
      </w:r>
    </w:p>
    <w:p w:rsidR="00F92579" w:rsidRPr="0000058A" w:rsidRDefault="00F92579"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5: ICWS Coordination and Systems Engineering – Phase 2</w:t>
      </w:r>
    </w:p>
    <w:p w:rsidR="00F92579" w:rsidRPr="0000058A" w:rsidRDefault="00F92579" w:rsidP="0000058A">
      <w:pPr>
        <w:spacing w:after="0" w:line="240" w:lineRule="auto"/>
        <w:ind w:left="576" w:right="-720"/>
        <w:rPr>
          <w:rFonts w:ascii="Arial" w:hAnsi="Arial" w:cs="Arial"/>
          <w:sz w:val="20"/>
          <w:szCs w:val="20"/>
        </w:rPr>
      </w:pPr>
      <w:r w:rsidRPr="0000058A">
        <w:rPr>
          <w:rFonts w:ascii="Arial" w:hAnsi="Arial" w:cs="Arial"/>
          <w:sz w:val="20"/>
          <w:szCs w:val="20"/>
        </w:rPr>
        <w:t xml:space="preserve">Project Goal: </w:t>
      </w:r>
      <w:r w:rsidRPr="0000058A">
        <w:rPr>
          <w:rFonts w:ascii="Arial" w:hAnsi="Arial" w:cs="Arial"/>
          <w:bCs/>
          <w:sz w:val="20"/>
          <w:szCs w:val="20"/>
        </w:rPr>
        <w:t>An extension of Project 1, this project will further support the standardization of ICWS by coordinating among the various national standards and association groups, and by developing a concept of operations and system requirements for the four types of ICWS identified in the Design and Evaluation Guidance for Intersection Conflict Warning Systems.</w:t>
      </w:r>
    </w:p>
    <w:p w:rsidR="008233C6" w:rsidRPr="008233C6" w:rsidRDefault="008233C6" w:rsidP="008233C6">
      <w:pPr>
        <w:numPr>
          <w:ilvl w:val="0"/>
          <w:numId w:val="8"/>
        </w:numPr>
        <w:spacing w:after="0" w:line="240" w:lineRule="auto"/>
      </w:pPr>
      <w:r w:rsidRPr="008233C6">
        <w:t xml:space="preserve">An update email was sent to ICWS stakeholders on 11/25 highlighting the Low Cost pooled fund’s continued research, ENTERPRISE warrants review with SCOTE, ICWS article in ATSSA’s Signal, </w:t>
      </w:r>
      <w:proofErr w:type="spellStart"/>
      <w:r w:rsidRPr="008233C6">
        <w:t>MnDOT’s</w:t>
      </w:r>
      <w:proofErr w:type="spellEnd"/>
      <w:r w:rsidRPr="008233C6">
        <w:t xml:space="preserve"> TIGER funding and WSDOT’s recent ICWS installation.</w:t>
      </w:r>
    </w:p>
    <w:p w:rsidR="00E6245D" w:rsidRPr="0000058A" w:rsidRDefault="00E6245D" w:rsidP="0000058A">
      <w:pPr>
        <w:spacing w:after="0" w:line="240" w:lineRule="auto"/>
        <w:ind w:left="1080"/>
        <w:rPr>
          <w:rFonts w:ascii="Arial" w:hAnsi="Arial" w:cs="Arial"/>
          <w:sz w:val="20"/>
          <w:szCs w:val="20"/>
        </w:rPr>
      </w:pPr>
    </w:p>
    <w:p w:rsidR="00C369A2" w:rsidRPr="0000058A" w:rsidRDefault="00C369A2"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6: Next Generation Traffic Data and Incident Detection from Video</w:t>
      </w:r>
    </w:p>
    <w:p w:rsidR="00C369A2" w:rsidRPr="0000058A" w:rsidRDefault="00C369A2" w:rsidP="0000058A">
      <w:pPr>
        <w:spacing w:after="0" w:line="240" w:lineRule="auto"/>
        <w:ind w:left="576" w:right="-720"/>
        <w:rPr>
          <w:rFonts w:ascii="Arial" w:hAnsi="Arial" w:cs="Arial"/>
          <w:sz w:val="20"/>
          <w:szCs w:val="20"/>
        </w:rPr>
      </w:pPr>
      <w:r w:rsidRPr="0000058A">
        <w:rPr>
          <w:rFonts w:ascii="Arial" w:hAnsi="Arial" w:cs="Arial"/>
          <w:sz w:val="20"/>
          <w:szCs w:val="20"/>
        </w:rPr>
        <w:t>Project Goal: To develop and test software systems to analyze video streams to collect traffic data, and to detect incidents.  Test environments are expected to include rural area animal detection (to warn of animal crossings), and metropolitan area incident detection.</w:t>
      </w:r>
    </w:p>
    <w:p w:rsidR="006914B8" w:rsidRDefault="006914B8" w:rsidP="0000058A">
      <w:pPr>
        <w:numPr>
          <w:ilvl w:val="0"/>
          <w:numId w:val="8"/>
        </w:numPr>
        <w:spacing w:after="0" w:line="240" w:lineRule="auto"/>
        <w:rPr>
          <w:rFonts w:ascii="Arial" w:hAnsi="Arial" w:cs="Arial"/>
          <w:sz w:val="20"/>
          <w:szCs w:val="20"/>
        </w:rPr>
      </w:pPr>
      <w:r w:rsidRPr="0000058A">
        <w:rPr>
          <w:rFonts w:ascii="Arial" w:hAnsi="Arial" w:cs="Arial"/>
          <w:sz w:val="20"/>
          <w:szCs w:val="20"/>
        </w:rPr>
        <w:t xml:space="preserve">Ongoing coordination with video analytics vendors and a thermal camera vendor continued for the Iowa DOT installation.  </w:t>
      </w:r>
    </w:p>
    <w:p w:rsidR="00C23749" w:rsidRPr="0000058A" w:rsidRDefault="00C23749" w:rsidP="0000058A">
      <w:pPr>
        <w:spacing w:after="0" w:line="240" w:lineRule="auto"/>
        <w:ind w:left="1080"/>
        <w:rPr>
          <w:rFonts w:ascii="Arial" w:hAnsi="Arial" w:cs="Arial"/>
          <w:sz w:val="20"/>
          <w:szCs w:val="20"/>
        </w:rPr>
      </w:pPr>
    </w:p>
    <w:p w:rsidR="00C369A2" w:rsidRPr="0000058A" w:rsidRDefault="00C369A2"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7: ITS Warrants to a Permanent Home</w:t>
      </w:r>
    </w:p>
    <w:p w:rsidR="00C369A2" w:rsidRPr="0000058A" w:rsidRDefault="00C369A2" w:rsidP="0000058A">
      <w:pPr>
        <w:spacing w:after="0" w:line="240" w:lineRule="auto"/>
        <w:ind w:left="576" w:right="-720"/>
        <w:rPr>
          <w:rFonts w:ascii="Arial" w:hAnsi="Arial" w:cs="Arial"/>
          <w:sz w:val="20"/>
          <w:szCs w:val="20"/>
        </w:rPr>
      </w:pPr>
      <w:r w:rsidRPr="0000058A">
        <w:rPr>
          <w:rFonts w:ascii="Arial" w:hAnsi="Arial" w:cs="Arial"/>
          <w:sz w:val="20"/>
          <w:szCs w:val="20"/>
        </w:rPr>
        <w:t>Project Goal: To transition the ENTERPRISE warrants process to a selected agency/organization as a permanent home and identify a warrant review process.</w:t>
      </w:r>
      <w:r w:rsidR="008233C6">
        <w:rPr>
          <w:rFonts w:ascii="Arial" w:hAnsi="Arial" w:cs="Arial"/>
          <w:sz w:val="20"/>
          <w:szCs w:val="20"/>
        </w:rPr>
        <w:t xml:space="preserve">  The project will also focus on developing a warrant for ICWS.</w:t>
      </w:r>
    </w:p>
    <w:p w:rsidR="006914B8" w:rsidRDefault="008233C6" w:rsidP="0000058A">
      <w:pPr>
        <w:numPr>
          <w:ilvl w:val="0"/>
          <w:numId w:val="8"/>
        </w:numPr>
        <w:spacing w:after="0" w:line="240" w:lineRule="auto"/>
        <w:rPr>
          <w:rFonts w:ascii="Arial" w:hAnsi="Arial" w:cs="Arial"/>
          <w:sz w:val="20"/>
          <w:szCs w:val="20"/>
        </w:rPr>
      </w:pPr>
      <w:r>
        <w:rPr>
          <w:rFonts w:ascii="Arial" w:hAnsi="Arial" w:cs="Arial"/>
          <w:sz w:val="20"/>
          <w:szCs w:val="20"/>
        </w:rPr>
        <w:t xml:space="preserve">Project completed. The final ICWS warrant was approved and posted in December 2013 on the ENTERPRISE warrants website: </w:t>
      </w:r>
      <w:hyperlink r:id="rId10" w:history="1">
        <w:r w:rsidRPr="00F91CF7">
          <w:rPr>
            <w:rStyle w:val="Hyperlink"/>
            <w:rFonts w:ascii="Arial" w:hAnsi="Arial" w:cs="Arial"/>
            <w:sz w:val="20"/>
            <w:szCs w:val="20"/>
          </w:rPr>
          <w:t>http://enterprise.prog.org/itswarrant</w:t>
        </w:r>
      </w:hyperlink>
      <w:r w:rsidR="006914B8" w:rsidRPr="0000058A">
        <w:rPr>
          <w:rFonts w:ascii="Arial" w:hAnsi="Arial" w:cs="Arial"/>
          <w:sz w:val="20"/>
          <w:szCs w:val="20"/>
        </w:rPr>
        <w:t>.</w:t>
      </w:r>
      <w:r>
        <w:rPr>
          <w:rFonts w:ascii="Arial" w:hAnsi="Arial" w:cs="Arial"/>
          <w:sz w:val="20"/>
          <w:szCs w:val="20"/>
        </w:rPr>
        <w:t xml:space="preserve">  </w:t>
      </w:r>
    </w:p>
    <w:p w:rsidR="00C369A2" w:rsidRPr="0000058A" w:rsidRDefault="00C369A2"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9: Crashworthiness and Protection of ITS Field Devices</w:t>
      </w:r>
    </w:p>
    <w:p w:rsidR="006914B8" w:rsidRPr="0000058A" w:rsidRDefault="006914B8" w:rsidP="0000058A">
      <w:pPr>
        <w:spacing w:after="0" w:line="240" w:lineRule="auto"/>
        <w:ind w:left="576" w:right="-720"/>
        <w:rPr>
          <w:rFonts w:ascii="Arial" w:hAnsi="Arial" w:cs="Arial"/>
          <w:sz w:val="20"/>
          <w:szCs w:val="20"/>
        </w:rPr>
      </w:pPr>
      <w:r w:rsidRPr="0000058A">
        <w:rPr>
          <w:rFonts w:ascii="Arial" w:hAnsi="Arial" w:cs="Arial"/>
          <w:sz w:val="20"/>
          <w:szCs w:val="20"/>
        </w:rPr>
        <w:t xml:space="preserve">Project Goal: The objective of this project is to determine if there are appropriate crashworthy supports for ITS Field Devices (signs, detectors, solar panels, control cabinets, etc.), that meet federal MUTCD and AASHTO standards and guidelines for crashworthy roadside appurtenances.  </w:t>
      </w:r>
    </w:p>
    <w:p w:rsidR="008233C6" w:rsidRPr="008233C6" w:rsidRDefault="008233C6" w:rsidP="008233C6">
      <w:pPr>
        <w:numPr>
          <w:ilvl w:val="0"/>
          <w:numId w:val="8"/>
        </w:numPr>
        <w:spacing w:after="0" w:line="240" w:lineRule="auto"/>
        <w:rPr>
          <w:rFonts w:ascii="Arial" w:hAnsi="Arial" w:cs="Arial"/>
          <w:sz w:val="20"/>
          <w:szCs w:val="20"/>
        </w:rPr>
      </w:pPr>
      <w:r w:rsidRPr="008233C6">
        <w:rPr>
          <w:rFonts w:ascii="Arial" w:hAnsi="Arial" w:cs="Arial"/>
          <w:sz w:val="20"/>
          <w:szCs w:val="20"/>
        </w:rPr>
        <w:t>Results from the search of online standards, request to crash testing facilities, and request to State DOTs were compiled into a summary table and posted to the ENTERPRISE website.  Milestone 1: Summary of Breakaway Support for ITS Devices was completed in December 2013.</w:t>
      </w:r>
    </w:p>
    <w:p w:rsidR="006914B8" w:rsidRPr="0000058A" w:rsidRDefault="006914B8"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10: HAR – Best Practices and Future Direction</w:t>
      </w:r>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 xml:space="preserve">Project Goal: The intent of this project is to research the current HAR ‘state of the practice’, and document how effective HAR is, and provide additional details that will allow ENTERPRISE members to make decisions about whether or not to invest (or continue investing) in HAR technologies.  </w:t>
      </w:r>
    </w:p>
    <w:p w:rsidR="008233C6" w:rsidRPr="008233C6" w:rsidRDefault="008233C6" w:rsidP="008233C6">
      <w:pPr>
        <w:numPr>
          <w:ilvl w:val="0"/>
          <w:numId w:val="8"/>
        </w:numPr>
        <w:spacing w:after="0" w:line="240" w:lineRule="auto"/>
        <w:rPr>
          <w:rFonts w:ascii="Arial" w:hAnsi="Arial" w:cs="Arial"/>
          <w:sz w:val="20"/>
          <w:szCs w:val="20"/>
        </w:rPr>
      </w:pPr>
      <w:r w:rsidRPr="008233C6">
        <w:rPr>
          <w:rFonts w:ascii="Arial" w:hAnsi="Arial" w:cs="Arial"/>
          <w:sz w:val="20"/>
          <w:szCs w:val="20"/>
        </w:rPr>
        <w:t>Interviews have been conducted to understand how HAR is being used.</w:t>
      </w:r>
    </w:p>
    <w:p w:rsidR="008233C6" w:rsidRPr="008233C6" w:rsidRDefault="008233C6" w:rsidP="008233C6">
      <w:pPr>
        <w:numPr>
          <w:ilvl w:val="0"/>
          <w:numId w:val="8"/>
        </w:numPr>
        <w:spacing w:after="0" w:line="240" w:lineRule="auto"/>
        <w:rPr>
          <w:rFonts w:ascii="Arial" w:hAnsi="Arial" w:cs="Arial"/>
          <w:sz w:val="20"/>
          <w:szCs w:val="20"/>
        </w:rPr>
      </w:pPr>
      <w:r w:rsidRPr="008233C6">
        <w:rPr>
          <w:rFonts w:ascii="Arial" w:hAnsi="Arial" w:cs="Arial"/>
          <w:sz w:val="20"/>
          <w:szCs w:val="20"/>
        </w:rPr>
        <w:lastRenderedPageBreak/>
        <w:t>The synthesis of HAR Research and Assessments was completed in mid-November</w:t>
      </w:r>
    </w:p>
    <w:p w:rsidR="008233C6" w:rsidRPr="008233C6" w:rsidRDefault="008233C6" w:rsidP="008233C6">
      <w:pPr>
        <w:numPr>
          <w:ilvl w:val="0"/>
          <w:numId w:val="8"/>
        </w:numPr>
        <w:spacing w:after="0" w:line="240" w:lineRule="auto"/>
        <w:rPr>
          <w:rFonts w:ascii="Arial" w:hAnsi="Arial" w:cs="Arial"/>
          <w:sz w:val="20"/>
          <w:szCs w:val="20"/>
        </w:rPr>
      </w:pPr>
      <w:r w:rsidRPr="008233C6">
        <w:rPr>
          <w:rFonts w:ascii="Arial" w:hAnsi="Arial" w:cs="Arial"/>
          <w:sz w:val="20"/>
          <w:szCs w:val="20"/>
        </w:rPr>
        <w:t>A summary to understand the current uses for HAR and the potential for HAR was presented during the December Board meeting.</w:t>
      </w:r>
    </w:p>
    <w:p w:rsidR="006914B8" w:rsidRPr="0000058A" w:rsidRDefault="006914B8"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 xml:space="preserve">Project 11: Intelligent </w:t>
      </w:r>
      <w:proofErr w:type="spellStart"/>
      <w:r w:rsidRPr="0000058A">
        <w:rPr>
          <w:rFonts w:ascii="Arial" w:hAnsi="Arial" w:cs="Arial"/>
          <w:sz w:val="20"/>
          <w:szCs w:val="20"/>
        </w:rPr>
        <w:t>Workzone</w:t>
      </w:r>
      <w:proofErr w:type="spellEnd"/>
      <w:r w:rsidRPr="0000058A">
        <w:rPr>
          <w:rFonts w:ascii="Arial" w:hAnsi="Arial" w:cs="Arial"/>
          <w:sz w:val="20"/>
          <w:szCs w:val="20"/>
        </w:rPr>
        <w:t xml:space="preserve"> – Synthesis of Best Practices</w:t>
      </w:r>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 xml:space="preserve">Project Goal: Document the best practices and lessons learned regarding IWZ technologies (Dynamic Merge, End of Queue Warning, Alternate Routes, and Variable Speed Limits) from various sources to draw conclusions about what approaches work best in what situations.  </w:t>
      </w:r>
    </w:p>
    <w:p w:rsidR="008233C6" w:rsidRDefault="008233C6" w:rsidP="008233C6">
      <w:pPr>
        <w:numPr>
          <w:ilvl w:val="0"/>
          <w:numId w:val="8"/>
        </w:numPr>
        <w:spacing w:after="0" w:line="240" w:lineRule="auto"/>
        <w:rPr>
          <w:rFonts w:ascii="Arial" w:hAnsi="Arial" w:cs="Arial"/>
          <w:sz w:val="20"/>
          <w:szCs w:val="20"/>
        </w:rPr>
      </w:pPr>
      <w:r w:rsidRPr="008233C6">
        <w:rPr>
          <w:rFonts w:ascii="Arial" w:hAnsi="Arial" w:cs="Arial"/>
          <w:sz w:val="20"/>
          <w:szCs w:val="20"/>
        </w:rPr>
        <w:t>Work continue</w:t>
      </w:r>
      <w:r>
        <w:rPr>
          <w:rFonts w:ascii="Arial" w:hAnsi="Arial" w:cs="Arial"/>
          <w:sz w:val="20"/>
          <w:szCs w:val="20"/>
        </w:rPr>
        <w:t>d</w:t>
      </w:r>
      <w:r w:rsidRPr="008233C6">
        <w:rPr>
          <w:rFonts w:ascii="Arial" w:hAnsi="Arial" w:cs="Arial"/>
          <w:sz w:val="20"/>
          <w:szCs w:val="20"/>
        </w:rPr>
        <w:t xml:space="preserve"> on summarizing work zone material available related to the four work zone applications.  Information gathered to date was presented during the 11.07.13 monthly ENTERPRISE Board meeting.</w:t>
      </w:r>
    </w:p>
    <w:p w:rsidR="00C369A2" w:rsidRPr="0000058A" w:rsidRDefault="008233C6" w:rsidP="008233C6">
      <w:pPr>
        <w:spacing w:after="0" w:line="240" w:lineRule="auto"/>
        <w:ind w:left="1080"/>
        <w:rPr>
          <w:rFonts w:ascii="Arial" w:hAnsi="Arial" w:cs="Arial"/>
          <w:sz w:val="20"/>
          <w:szCs w:val="20"/>
        </w:rPr>
      </w:pPr>
      <w:r w:rsidRPr="008233C6">
        <w:rPr>
          <w:rFonts w:ascii="Arial" w:hAnsi="Arial" w:cs="Arial"/>
          <w:sz w:val="20"/>
          <w:szCs w:val="20"/>
        </w:rPr>
        <w:t xml:space="preserve">  </w:t>
      </w: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 xml:space="preserve">Project 12: Connected Vehicles Data Element </w:t>
      </w:r>
      <w:proofErr w:type="spellStart"/>
      <w:r w:rsidRPr="0000058A">
        <w:rPr>
          <w:rFonts w:ascii="Arial" w:hAnsi="Arial" w:cs="Arial"/>
          <w:sz w:val="20"/>
          <w:szCs w:val="20"/>
        </w:rPr>
        <w:t>ConOps</w:t>
      </w:r>
      <w:proofErr w:type="spellEnd"/>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 xml:space="preserve">Project Goal: </w:t>
      </w:r>
      <w:r w:rsidRPr="0000058A">
        <w:rPr>
          <w:rFonts w:ascii="Arial" w:hAnsi="Arial" w:cs="Arial"/>
          <w:bCs/>
          <w:sz w:val="20"/>
          <w:szCs w:val="20"/>
        </w:rPr>
        <w:t>This effort will examine the opportunities for state DOT’s to improve highway operations and safety through the use of Connected Vehicles sourced data.</w:t>
      </w:r>
      <w:r w:rsidRPr="0000058A">
        <w:rPr>
          <w:rFonts w:ascii="Arial" w:hAnsi="Arial" w:cs="Arial"/>
          <w:sz w:val="20"/>
          <w:szCs w:val="20"/>
        </w:rPr>
        <w:t xml:space="preserve">  </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Project was authorized by ENTERPRISE on 8.29.13.</w:t>
      </w:r>
    </w:p>
    <w:p w:rsidR="006914B8" w:rsidRPr="0000058A" w:rsidRDefault="006914B8"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13: Assessment of Emergency Service Providers Data Feeds</w:t>
      </w:r>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 xml:space="preserve">Project Goal: </w:t>
      </w:r>
      <w:r w:rsidRPr="0000058A">
        <w:rPr>
          <w:rFonts w:ascii="Arial" w:hAnsi="Arial" w:cs="Arial"/>
          <w:bCs/>
          <w:sz w:val="20"/>
          <w:szCs w:val="20"/>
        </w:rPr>
        <w:t>Research the current data feed available from emergency service providers, document the feeds, and work with ENTERPRISE member agencies to understand if the member agencies wish to receive this data feed (either for emergency response or for travel information) and what value the data may have for operations, travel information, and planning.</w:t>
      </w:r>
    </w:p>
    <w:p w:rsidR="008233C6" w:rsidRPr="008233C6" w:rsidRDefault="008233C6" w:rsidP="008233C6">
      <w:pPr>
        <w:numPr>
          <w:ilvl w:val="1"/>
          <w:numId w:val="3"/>
        </w:numPr>
        <w:spacing w:after="0" w:line="240" w:lineRule="auto"/>
        <w:rPr>
          <w:rFonts w:ascii="Arial" w:hAnsi="Arial" w:cs="Arial"/>
          <w:sz w:val="20"/>
          <w:szCs w:val="20"/>
        </w:rPr>
      </w:pPr>
      <w:r w:rsidRPr="008233C6">
        <w:rPr>
          <w:rFonts w:ascii="Arial" w:hAnsi="Arial" w:cs="Arial"/>
          <w:sz w:val="20"/>
          <w:szCs w:val="20"/>
        </w:rPr>
        <w:t xml:space="preserve">Information from OnStar was compiled in an interim summary report (deliverable 1 for the project) in December. This included all of the information gathered from OnStar.  Following project champion approval, additional information will be added from the remaining providers and transportation agencies. </w:t>
      </w:r>
    </w:p>
    <w:p w:rsidR="006914B8" w:rsidRPr="0000058A" w:rsidRDefault="006914B8"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14: Next Generation Traffic Data and Incident Detection from Video (Phase 2) – Evaluation</w:t>
      </w:r>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Project Goal: To evaluate video streams of traffic data and incident detection.  Test environments are expected to include rural area animal detection (to warn of animal crossings), and metropolitan area incident detection.</w:t>
      </w:r>
    </w:p>
    <w:p w:rsidR="005154B2" w:rsidRDefault="008233C6" w:rsidP="005154B2">
      <w:pPr>
        <w:numPr>
          <w:ilvl w:val="0"/>
          <w:numId w:val="8"/>
        </w:numPr>
        <w:spacing w:after="0" w:line="240" w:lineRule="auto"/>
        <w:rPr>
          <w:rFonts w:ascii="Arial" w:hAnsi="Arial" w:cs="Arial"/>
          <w:sz w:val="20"/>
          <w:szCs w:val="20"/>
        </w:rPr>
      </w:pPr>
      <w:r w:rsidRPr="008233C6">
        <w:rPr>
          <w:rFonts w:ascii="Arial" w:hAnsi="Arial" w:cs="Arial"/>
          <w:sz w:val="20"/>
          <w:szCs w:val="20"/>
        </w:rPr>
        <w:t>An intensive 2-week incident detection test with the Iowa DOT was conducted from November 18-29. During this time, IA DOT traffic management center staff recorded incidents in the video analytics coverage area, to provide data to compare video analytics detection alerts to actual incidents.</w:t>
      </w:r>
      <w:r w:rsidR="005154B2" w:rsidRPr="005154B2">
        <w:rPr>
          <w:rFonts w:ascii="Arial" w:hAnsi="Arial" w:cs="Arial"/>
          <w:sz w:val="20"/>
          <w:szCs w:val="20"/>
        </w:rPr>
        <w:t xml:space="preserve"> </w:t>
      </w:r>
      <w:r w:rsidR="005154B2">
        <w:rPr>
          <w:rFonts w:ascii="Arial" w:hAnsi="Arial" w:cs="Arial"/>
          <w:sz w:val="20"/>
          <w:szCs w:val="20"/>
        </w:rPr>
        <w:t>The project team was on-site in Iowa for testing and evaluation of three ‘wrong-way’ vehicle movement detection systems.</w:t>
      </w:r>
    </w:p>
    <w:p w:rsidR="005154B2" w:rsidRDefault="005154B2" w:rsidP="005154B2">
      <w:pPr>
        <w:numPr>
          <w:ilvl w:val="0"/>
          <w:numId w:val="8"/>
        </w:numPr>
        <w:spacing w:after="0" w:line="240" w:lineRule="auto"/>
        <w:rPr>
          <w:rFonts w:ascii="Arial" w:hAnsi="Arial" w:cs="Arial"/>
          <w:sz w:val="20"/>
          <w:szCs w:val="20"/>
        </w:rPr>
      </w:pPr>
      <w:r>
        <w:rPr>
          <w:rFonts w:ascii="Arial" w:hAnsi="Arial" w:cs="Arial"/>
          <w:sz w:val="20"/>
          <w:szCs w:val="20"/>
        </w:rPr>
        <w:t xml:space="preserve">Data collection from test sites in Iowa and Kansas City, MO continued and concluded on December 31, 2013. </w:t>
      </w:r>
    </w:p>
    <w:p w:rsidR="008233C6" w:rsidRPr="008233C6" w:rsidRDefault="008233C6" w:rsidP="005154B2">
      <w:pPr>
        <w:spacing w:after="0" w:line="240" w:lineRule="auto"/>
        <w:ind w:left="1080"/>
        <w:rPr>
          <w:rFonts w:ascii="Arial" w:hAnsi="Arial" w:cs="Arial"/>
          <w:sz w:val="20"/>
          <w:szCs w:val="20"/>
        </w:rPr>
      </w:pPr>
    </w:p>
    <w:p w:rsidR="0040579E" w:rsidRPr="0000058A" w:rsidRDefault="0040579E" w:rsidP="0000058A">
      <w:pPr>
        <w:spacing w:after="0" w:line="240" w:lineRule="auto"/>
        <w:ind w:left="1080"/>
        <w:rPr>
          <w:rFonts w:ascii="Arial" w:hAnsi="Arial" w:cs="Arial"/>
          <w:sz w:val="20"/>
          <w:szCs w:val="20"/>
        </w:rPr>
      </w:pPr>
      <w:bookmarkStart w:id="0" w:name="_GoBack"/>
      <w:bookmarkEnd w:id="0"/>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Anticipated work next quarter:</w:t>
      </w:r>
    </w:p>
    <w:p w:rsidR="001B71D1" w:rsidRPr="0000058A" w:rsidRDefault="001B71D1" w:rsidP="0000058A">
      <w:pPr>
        <w:spacing w:after="0" w:line="240" w:lineRule="auto"/>
        <w:ind w:right="-720"/>
        <w:rPr>
          <w:rFonts w:ascii="Arial" w:hAnsi="Arial" w:cs="Arial"/>
          <w:sz w:val="20"/>
          <w:szCs w:val="20"/>
        </w:rPr>
      </w:pPr>
    </w:p>
    <w:p w:rsidR="008A44F2" w:rsidRPr="0000058A" w:rsidRDefault="008A44F2" w:rsidP="0000058A">
      <w:pPr>
        <w:spacing w:after="0" w:line="240" w:lineRule="auto"/>
        <w:ind w:right="-720"/>
        <w:rPr>
          <w:rFonts w:ascii="Arial" w:hAnsi="Arial" w:cs="Arial"/>
          <w:sz w:val="20"/>
          <w:szCs w:val="20"/>
        </w:rPr>
      </w:pPr>
      <w:r w:rsidRPr="0000058A">
        <w:rPr>
          <w:rFonts w:ascii="Arial" w:hAnsi="Arial" w:cs="Arial"/>
          <w:sz w:val="20"/>
          <w:szCs w:val="20"/>
        </w:rPr>
        <w:t>Administrative</w:t>
      </w:r>
      <w:r w:rsidR="001B71D1" w:rsidRPr="0000058A">
        <w:rPr>
          <w:rFonts w:ascii="Arial" w:hAnsi="Arial" w:cs="Arial"/>
          <w:sz w:val="20"/>
          <w:szCs w:val="20"/>
        </w:rPr>
        <w:t>/Management</w:t>
      </w:r>
      <w:r w:rsidRPr="0000058A">
        <w:rPr>
          <w:rFonts w:ascii="Arial" w:hAnsi="Arial" w:cs="Arial"/>
          <w:sz w:val="20"/>
          <w:szCs w:val="20"/>
        </w:rPr>
        <w:t xml:space="preserve"> Support Task:</w:t>
      </w:r>
    </w:p>
    <w:p w:rsidR="008A44F2" w:rsidRPr="0000058A" w:rsidRDefault="0000058A" w:rsidP="0000058A">
      <w:pPr>
        <w:numPr>
          <w:ilvl w:val="0"/>
          <w:numId w:val="3"/>
        </w:numPr>
        <w:spacing w:after="0" w:line="240" w:lineRule="auto"/>
        <w:ind w:right="-720"/>
        <w:rPr>
          <w:rFonts w:ascii="Arial" w:hAnsi="Arial" w:cs="Arial"/>
          <w:sz w:val="20"/>
          <w:szCs w:val="20"/>
        </w:rPr>
      </w:pPr>
      <w:r>
        <w:rPr>
          <w:rFonts w:ascii="Arial" w:hAnsi="Arial" w:cs="Arial"/>
          <w:sz w:val="20"/>
          <w:szCs w:val="20"/>
        </w:rPr>
        <w:t>Monthly webinars</w:t>
      </w:r>
      <w:r w:rsidR="00AA5C8B" w:rsidRPr="0000058A">
        <w:rPr>
          <w:rFonts w:ascii="Arial" w:hAnsi="Arial" w:cs="Arial"/>
          <w:sz w:val="20"/>
          <w:szCs w:val="20"/>
        </w:rPr>
        <w:t xml:space="preserve"> </w:t>
      </w:r>
      <w:r w:rsidR="008A44F2" w:rsidRPr="0000058A">
        <w:rPr>
          <w:rFonts w:ascii="Arial" w:hAnsi="Arial" w:cs="Arial"/>
          <w:sz w:val="20"/>
          <w:szCs w:val="20"/>
        </w:rPr>
        <w:t xml:space="preserve">will be conducted in </w:t>
      </w:r>
      <w:r w:rsidR="008233C6">
        <w:rPr>
          <w:rFonts w:ascii="Arial" w:hAnsi="Arial" w:cs="Arial"/>
          <w:sz w:val="20"/>
          <w:szCs w:val="20"/>
        </w:rPr>
        <w:t>January and February</w:t>
      </w:r>
      <w:r>
        <w:rPr>
          <w:rFonts w:ascii="Arial" w:hAnsi="Arial" w:cs="Arial"/>
          <w:sz w:val="20"/>
          <w:szCs w:val="20"/>
        </w:rPr>
        <w:t>.  An in person meeting will be held in San Antonio, Texas in February.</w:t>
      </w:r>
      <w:r w:rsidR="00BF6971" w:rsidRPr="0000058A">
        <w:rPr>
          <w:rFonts w:ascii="Arial" w:hAnsi="Arial" w:cs="Arial"/>
          <w:sz w:val="20"/>
          <w:szCs w:val="20"/>
        </w:rPr>
        <w:t xml:space="preserve">  </w:t>
      </w:r>
    </w:p>
    <w:p w:rsidR="00E6245D" w:rsidRPr="0000058A" w:rsidRDefault="00E6245D" w:rsidP="0000058A">
      <w:pPr>
        <w:spacing w:after="0" w:line="240" w:lineRule="auto"/>
        <w:ind w:left="360" w:right="-720"/>
        <w:rPr>
          <w:rFonts w:ascii="Arial" w:hAnsi="Arial" w:cs="Arial"/>
          <w:sz w:val="20"/>
          <w:szCs w:val="20"/>
        </w:rPr>
      </w:pPr>
    </w:p>
    <w:p w:rsidR="008A44F2" w:rsidRPr="0000058A" w:rsidRDefault="008A44F2" w:rsidP="0000058A">
      <w:pPr>
        <w:spacing w:after="0" w:line="240" w:lineRule="auto"/>
        <w:ind w:left="-144" w:right="-720"/>
        <w:rPr>
          <w:rFonts w:ascii="Arial" w:hAnsi="Arial" w:cs="Arial"/>
          <w:sz w:val="20"/>
          <w:szCs w:val="20"/>
        </w:rPr>
      </w:pPr>
      <w:r w:rsidRPr="0000058A">
        <w:rPr>
          <w:rFonts w:ascii="Arial" w:hAnsi="Arial" w:cs="Arial"/>
          <w:sz w:val="20"/>
          <w:szCs w:val="20"/>
        </w:rPr>
        <w:t>Technical Task:</w:t>
      </w:r>
    </w:p>
    <w:p w:rsidR="005555EE" w:rsidRPr="0000058A" w:rsidRDefault="005555EE" w:rsidP="0000058A">
      <w:pPr>
        <w:spacing w:after="0" w:line="240" w:lineRule="auto"/>
        <w:ind w:left="-144" w:right="-720"/>
        <w:rPr>
          <w:rFonts w:ascii="Arial" w:hAnsi="Arial" w:cs="Arial"/>
          <w:sz w:val="20"/>
          <w:szCs w:val="20"/>
        </w:rPr>
      </w:pPr>
    </w:p>
    <w:p w:rsidR="00F92579" w:rsidRPr="0000058A" w:rsidRDefault="00F92579"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5: Intersection Conflict Warning System – Phase 2</w:t>
      </w:r>
    </w:p>
    <w:p w:rsidR="00C23749" w:rsidRPr="008233C6" w:rsidRDefault="008233C6" w:rsidP="008233C6">
      <w:pPr>
        <w:numPr>
          <w:ilvl w:val="1"/>
          <w:numId w:val="3"/>
        </w:numPr>
        <w:spacing w:after="0" w:line="240" w:lineRule="auto"/>
        <w:ind w:right="-720"/>
        <w:rPr>
          <w:rFonts w:ascii="Arial" w:hAnsi="Arial" w:cs="Arial"/>
          <w:sz w:val="20"/>
          <w:szCs w:val="20"/>
        </w:rPr>
      </w:pPr>
      <w:r w:rsidRPr="008233C6">
        <w:rPr>
          <w:rFonts w:ascii="Arial" w:hAnsi="Arial" w:cs="Arial"/>
          <w:sz w:val="20"/>
          <w:szCs w:val="20"/>
        </w:rPr>
        <w:t xml:space="preserve">Outreach and collaboration will continue under the remaining budget or until the next phase of ICWS work is authorized by Michigan DOT. Emphasis will be placed on the Low Cost and Traffic Control Devices pooled funds (ENTEPRISE letter sent updated information to the TCD pooled fund to support their human factors research), NCUTCD ICWS task force and ATSSA.  </w:t>
      </w:r>
    </w:p>
    <w:p w:rsidR="00C369A2" w:rsidRPr="0000058A" w:rsidRDefault="00C369A2"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6: Next Generation Traffic Data and Incident Detection from Video</w:t>
      </w:r>
    </w:p>
    <w:p w:rsidR="00C369A2" w:rsidRPr="0000058A" w:rsidRDefault="006914B8" w:rsidP="0000058A">
      <w:pPr>
        <w:numPr>
          <w:ilvl w:val="1"/>
          <w:numId w:val="3"/>
        </w:numPr>
        <w:spacing w:after="0" w:line="240" w:lineRule="auto"/>
        <w:ind w:right="-720"/>
        <w:rPr>
          <w:rFonts w:ascii="Arial" w:hAnsi="Arial" w:cs="Arial"/>
          <w:sz w:val="20"/>
          <w:szCs w:val="20"/>
        </w:rPr>
      </w:pPr>
      <w:r w:rsidRPr="0000058A">
        <w:rPr>
          <w:rFonts w:ascii="Arial" w:hAnsi="Arial" w:cs="Arial"/>
          <w:sz w:val="20"/>
          <w:szCs w:val="20"/>
        </w:rPr>
        <w:t>Continue vendor coordination.</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9: Crashworthiness and Protection of ITS Field Devices</w:t>
      </w:r>
    </w:p>
    <w:p w:rsidR="006914B8" w:rsidRPr="008233C6" w:rsidRDefault="008233C6" w:rsidP="0000058A">
      <w:pPr>
        <w:numPr>
          <w:ilvl w:val="1"/>
          <w:numId w:val="3"/>
        </w:numPr>
        <w:spacing w:after="0" w:line="240" w:lineRule="auto"/>
        <w:ind w:right="-720"/>
        <w:rPr>
          <w:rFonts w:ascii="Arial" w:hAnsi="Arial" w:cs="Arial"/>
          <w:sz w:val="20"/>
          <w:szCs w:val="20"/>
        </w:rPr>
      </w:pPr>
      <w:r w:rsidRPr="008233C6">
        <w:rPr>
          <w:rFonts w:ascii="Arial" w:hAnsi="Arial" w:cs="Arial"/>
          <w:sz w:val="20"/>
          <w:szCs w:val="20"/>
        </w:rPr>
        <w:t>A summary of resources for ITS engineers is being prepared. The summary will provide steps to consider and relevant resources for ITS engineers to utilize when installing ITS devices in the roadway clear zone.</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lastRenderedPageBreak/>
        <w:t>Project 10: HAR – Best Practices and Future Direction</w:t>
      </w:r>
    </w:p>
    <w:p w:rsidR="006914B8" w:rsidRPr="008233C6" w:rsidRDefault="008233C6" w:rsidP="008233C6">
      <w:pPr>
        <w:numPr>
          <w:ilvl w:val="1"/>
          <w:numId w:val="3"/>
        </w:numPr>
        <w:spacing w:after="0" w:line="240" w:lineRule="auto"/>
        <w:ind w:right="-720"/>
        <w:rPr>
          <w:rFonts w:ascii="Arial" w:hAnsi="Arial" w:cs="Arial"/>
          <w:sz w:val="20"/>
          <w:szCs w:val="20"/>
        </w:rPr>
      </w:pPr>
      <w:r w:rsidRPr="008233C6">
        <w:rPr>
          <w:rFonts w:ascii="Arial" w:hAnsi="Arial" w:cs="Arial"/>
          <w:sz w:val="20"/>
          <w:szCs w:val="20"/>
        </w:rPr>
        <w:t>The next steps will be to research technology state of the art.  An overall project report will be completed in February.</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 xml:space="preserve">Project 11: Intelligent </w:t>
      </w:r>
      <w:proofErr w:type="spellStart"/>
      <w:r w:rsidRPr="0000058A">
        <w:rPr>
          <w:rFonts w:ascii="Arial" w:hAnsi="Arial" w:cs="Arial"/>
          <w:sz w:val="20"/>
          <w:szCs w:val="20"/>
        </w:rPr>
        <w:t>Workzone</w:t>
      </w:r>
      <w:proofErr w:type="spellEnd"/>
      <w:r w:rsidRPr="0000058A">
        <w:rPr>
          <w:rFonts w:ascii="Arial" w:hAnsi="Arial" w:cs="Arial"/>
          <w:sz w:val="20"/>
          <w:szCs w:val="20"/>
        </w:rPr>
        <w:t xml:space="preserve"> – Synthesis of Best Practices</w:t>
      </w:r>
    </w:p>
    <w:p w:rsidR="008233C6" w:rsidRDefault="008233C6" w:rsidP="008233C6">
      <w:pPr>
        <w:numPr>
          <w:ilvl w:val="1"/>
          <w:numId w:val="3"/>
        </w:numPr>
        <w:spacing w:after="0" w:line="240" w:lineRule="auto"/>
        <w:ind w:right="-720"/>
        <w:rPr>
          <w:rFonts w:ascii="Arial" w:hAnsi="Arial" w:cs="Arial"/>
          <w:sz w:val="20"/>
          <w:szCs w:val="20"/>
        </w:rPr>
      </w:pPr>
      <w:r w:rsidRPr="008233C6">
        <w:rPr>
          <w:rFonts w:ascii="Arial" w:hAnsi="Arial" w:cs="Arial"/>
          <w:sz w:val="20"/>
          <w:szCs w:val="20"/>
        </w:rPr>
        <w:t xml:space="preserve">A final summary of the work zone material will be available in </w:t>
      </w:r>
      <w:r>
        <w:rPr>
          <w:rFonts w:ascii="Arial" w:hAnsi="Arial" w:cs="Arial"/>
          <w:sz w:val="20"/>
          <w:szCs w:val="20"/>
        </w:rPr>
        <w:t>February</w:t>
      </w:r>
      <w:r w:rsidRPr="008233C6">
        <w:rPr>
          <w:rFonts w:ascii="Arial" w:hAnsi="Arial" w:cs="Arial"/>
          <w:sz w:val="20"/>
          <w:szCs w:val="20"/>
        </w:rPr>
        <w:t xml:space="preserve"> 2014.</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 xml:space="preserve">Project 12: Connected Vehicles Data Element </w:t>
      </w:r>
      <w:proofErr w:type="spellStart"/>
      <w:r w:rsidRPr="0000058A">
        <w:rPr>
          <w:rFonts w:ascii="Arial" w:hAnsi="Arial" w:cs="Arial"/>
          <w:sz w:val="20"/>
          <w:szCs w:val="20"/>
        </w:rPr>
        <w:t>ConOps</w:t>
      </w:r>
      <w:proofErr w:type="spellEnd"/>
    </w:p>
    <w:p w:rsidR="006914B8" w:rsidRPr="0000058A" w:rsidRDefault="008233C6" w:rsidP="0000058A">
      <w:pPr>
        <w:numPr>
          <w:ilvl w:val="1"/>
          <w:numId w:val="3"/>
        </w:numPr>
        <w:spacing w:after="0" w:line="240" w:lineRule="auto"/>
        <w:ind w:right="-720"/>
        <w:rPr>
          <w:rFonts w:ascii="Arial" w:hAnsi="Arial" w:cs="Arial"/>
          <w:sz w:val="20"/>
          <w:szCs w:val="20"/>
        </w:rPr>
      </w:pPr>
      <w:r>
        <w:rPr>
          <w:rFonts w:ascii="Arial" w:hAnsi="Arial" w:cs="Arial"/>
          <w:sz w:val="20"/>
          <w:szCs w:val="20"/>
        </w:rPr>
        <w:t>A project update will be provided in January 2014.</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13: Assessment of Emergency Service Providers Data Feeds</w:t>
      </w:r>
    </w:p>
    <w:p w:rsidR="006914B8" w:rsidRPr="008233C6" w:rsidRDefault="008233C6" w:rsidP="008233C6">
      <w:pPr>
        <w:numPr>
          <w:ilvl w:val="1"/>
          <w:numId w:val="3"/>
        </w:numPr>
        <w:spacing w:after="0" w:line="240" w:lineRule="auto"/>
        <w:ind w:right="-720"/>
        <w:rPr>
          <w:rFonts w:ascii="Arial" w:hAnsi="Arial" w:cs="Arial"/>
          <w:sz w:val="20"/>
          <w:szCs w:val="20"/>
        </w:rPr>
      </w:pPr>
      <w:r w:rsidRPr="008233C6">
        <w:rPr>
          <w:rFonts w:ascii="Arial" w:hAnsi="Arial" w:cs="Arial"/>
          <w:sz w:val="20"/>
          <w:szCs w:val="20"/>
        </w:rPr>
        <w:t xml:space="preserve">Additional information </w:t>
      </w:r>
      <w:r>
        <w:rPr>
          <w:rFonts w:ascii="Arial" w:hAnsi="Arial" w:cs="Arial"/>
          <w:sz w:val="20"/>
          <w:szCs w:val="20"/>
        </w:rPr>
        <w:t>will</w:t>
      </w:r>
      <w:r w:rsidRPr="008233C6">
        <w:rPr>
          <w:rFonts w:ascii="Arial" w:hAnsi="Arial" w:cs="Arial"/>
          <w:sz w:val="20"/>
          <w:szCs w:val="20"/>
        </w:rPr>
        <w:t xml:space="preserve"> be gathered from other service providers and from agencies (e.g. ID, OR) that have used OnStar or other service provider data.</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14: Next Generation Traffic Data and Incident Detection from Video (Phase 2) – Evaluation</w:t>
      </w:r>
    </w:p>
    <w:p w:rsidR="00177805" w:rsidRDefault="008233C6" w:rsidP="00177805">
      <w:pPr>
        <w:numPr>
          <w:ilvl w:val="1"/>
          <w:numId w:val="3"/>
        </w:numPr>
        <w:spacing w:after="0" w:line="240" w:lineRule="auto"/>
        <w:ind w:right="-720"/>
        <w:rPr>
          <w:rFonts w:ascii="Arial" w:hAnsi="Arial" w:cs="Arial"/>
          <w:sz w:val="20"/>
          <w:szCs w:val="20"/>
        </w:rPr>
      </w:pPr>
      <w:r>
        <w:rPr>
          <w:rFonts w:ascii="Arial" w:hAnsi="Arial" w:cs="Arial"/>
          <w:sz w:val="20"/>
          <w:szCs w:val="20"/>
        </w:rPr>
        <w:t xml:space="preserve">Continue </w:t>
      </w:r>
      <w:r w:rsidRPr="008233C6">
        <w:rPr>
          <w:rFonts w:ascii="Arial" w:hAnsi="Arial" w:cs="Arial"/>
          <w:sz w:val="20"/>
          <w:szCs w:val="20"/>
        </w:rPr>
        <w:t>Traffic data analysis. This detailed analysis is comparing traffic data (e.g. speeds, volumes, vehicle classifications) collected by video analytics vendors to traffic data collected by in-place DOT-installed detectors. Traffic data analysis is being conducted for deployments near Iowa City, Iowa and in the Kansas City, MO metro area</w:t>
      </w:r>
    </w:p>
    <w:p w:rsidR="00177805" w:rsidRPr="00177805" w:rsidRDefault="00177805" w:rsidP="00177805">
      <w:pPr>
        <w:numPr>
          <w:ilvl w:val="1"/>
          <w:numId w:val="3"/>
        </w:numPr>
        <w:spacing w:after="0" w:line="240" w:lineRule="auto"/>
        <w:ind w:right="-720"/>
        <w:rPr>
          <w:rFonts w:ascii="Arial" w:hAnsi="Arial" w:cs="Arial"/>
          <w:sz w:val="20"/>
          <w:szCs w:val="20"/>
        </w:rPr>
      </w:pPr>
      <w:r w:rsidRPr="00177805">
        <w:rPr>
          <w:rFonts w:ascii="Arial" w:hAnsi="Arial" w:cs="Arial"/>
          <w:sz w:val="20"/>
          <w:szCs w:val="20"/>
        </w:rPr>
        <w:t>Data that was collected is being analyzed and will be presented at the ENTERPRISE Board meeting in February, 2014.</w:t>
      </w:r>
    </w:p>
    <w:p w:rsidR="00037FBC" w:rsidRPr="0000058A" w:rsidRDefault="00F3126C"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Additional p</w:t>
      </w:r>
      <w:r w:rsidR="008A44F2" w:rsidRPr="0000058A">
        <w:rPr>
          <w:rFonts w:ascii="Arial" w:hAnsi="Arial" w:cs="Arial"/>
          <w:sz w:val="20"/>
          <w:szCs w:val="20"/>
        </w:rPr>
        <w:t>rojects from the 2010</w:t>
      </w:r>
      <w:r w:rsidR="001B71D1" w:rsidRPr="0000058A">
        <w:rPr>
          <w:rFonts w:ascii="Arial" w:hAnsi="Arial" w:cs="Arial"/>
          <w:sz w:val="20"/>
          <w:szCs w:val="20"/>
        </w:rPr>
        <w:t>-2012</w:t>
      </w:r>
      <w:r w:rsidR="0040579E">
        <w:rPr>
          <w:rFonts w:ascii="Arial" w:hAnsi="Arial" w:cs="Arial"/>
          <w:sz w:val="20"/>
          <w:szCs w:val="20"/>
        </w:rPr>
        <w:t xml:space="preserve"> </w:t>
      </w:r>
      <w:r w:rsidR="008A44F2" w:rsidRPr="0000058A">
        <w:rPr>
          <w:rFonts w:ascii="Arial" w:hAnsi="Arial" w:cs="Arial"/>
          <w:sz w:val="20"/>
          <w:szCs w:val="20"/>
        </w:rPr>
        <w:t xml:space="preserve">Work </w:t>
      </w:r>
      <w:proofErr w:type="gramStart"/>
      <w:r w:rsidR="008A44F2" w:rsidRPr="0000058A">
        <w:rPr>
          <w:rFonts w:ascii="Arial" w:hAnsi="Arial" w:cs="Arial"/>
          <w:sz w:val="20"/>
          <w:szCs w:val="20"/>
        </w:rPr>
        <w:t>Plan</w:t>
      </w:r>
      <w:proofErr w:type="gramEnd"/>
      <w:r w:rsidR="008A44F2" w:rsidRPr="0000058A">
        <w:rPr>
          <w:rFonts w:ascii="Arial" w:hAnsi="Arial" w:cs="Arial"/>
          <w:sz w:val="20"/>
          <w:szCs w:val="20"/>
        </w:rPr>
        <w:t xml:space="preserve"> will begin to commence during the next quarter</w:t>
      </w:r>
      <w:r w:rsidRPr="0000058A">
        <w:rPr>
          <w:rFonts w:ascii="Arial" w:hAnsi="Arial" w:cs="Arial"/>
          <w:sz w:val="20"/>
          <w:szCs w:val="20"/>
        </w:rPr>
        <w:t>.</w:t>
      </w:r>
    </w:p>
    <w:p w:rsidR="0003145A" w:rsidRPr="0000058A" w:rsidRDefault="0003145A" w:rsidP="0000058A">
      <w:pPr>
        <w:spacing w:after="0" w:line="240" w:lineRule="auto"/>
        <w:ind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Significant Results:</w:t>
      </w:r>
    </w:p>
    <w:p w:rsidR="00037FBC" w:rsidRPr="0000058A" w:rsidRDefault="00037FBC" w:rsidP="0000058A">
      <w:pPr>
        <w:spacing w:after="0" w:line="240" w:lineRule="auto"/>
        <w:ind w:left="-720" w:right="-720"/>
        <w:rPr>
          <w:rFonts w:ascii="Arial" w:hAnsi="Arial" w:cs="Arial"/>
          <w:sz w:val="20"/>
          <w:szCs w:val="20"/>
        </w:rPr>
      </w:pPr>
    </w:p>
    <w:p w:rsidR="00C23749" w:rsidRPr="0000058A" w:rsidRDefault="006914B8" w:rsidP="0000058A">
      <w:pPr>
        <w:spacing w:after="0" w:line="240" w:lineRule="auto"/>
        <w:ind w:left="-720" w:right="-720"/>
        <w:rPr>
          <w:rFonts w:ascii="Arial" w:hAnsi="Arial" w:cs="Arial"/>
          <w:sz w:val="20"/>
          <w:szCs w:val="20"/>
        </w:rPr>
      </w:pPr>
      <w:r w:rsidRPr="0000058A">
        <w:rPr>
          <w:rFonts w:ascii="Arial" w:hAnsi="Arial" w:cs="Arial"/>
          <w:sz w:val="20"/>
          <w:szCs w:val="20"/>
        </w:rPr>
        <w:t>Project completed:</w:t>
      </w:r>
    </w:p>
    <w:p w:rsidR="006914B8" w:rsidRPr="0000058A" w:rsidRDefault="006914B8" w:rsidP="0000058A">
      <w:pPr>
        <w:numPr>
          <w:ilvl w:val="0"/>
          <w:numId w:val="15"/>
        </w:numPr>
        <w:spacing w:after="0" w:line="240" w:lineRule="auto"/>
        <w:ind w:right="-720"/>
        <w:rPr>
          <w:rFonts w:ascii="Arial" w:hAnsi="Arial" w:cs="Arial"/>
          <w:sz w:val="20"/>
          <w:szCs w:val="20"/>
        </w:rPr>
      </w:pPr>
      <w:r w:rsidRPr="0000058A">
        <w:rPr>
          <w:rFonts w:ascii="Arial" w:hAnsi="Arial" w:cs="Arial"/>
          <w:sz w:val="20"/>
          <w:szCs w:val="20"/>
        </w:rPr>
        <w:t xml:space="preserve">Project </w:t>
      </w:r>
      <w:r w:rsidR="008233C6">
        <w:rPr>
          <w:rFonts w:ascii="Arial" w:hAnsi="Arial" w:cs="Arial"/>
          <w:sz w:val="20"/>
          <w:szCs w:val="20"/>
        </w:rPr>
        <w:t>7</w:t>
      </w:r>
      <w:r w:rsidRPr="0000058A">
        <w:rPr>
          <w:rFonts w:ascii="Arial" w:hAnsi="Arial" w:cs="Arial"/>
          <w:sz w:val="20"/>
          <w:szCs w:val="20"/>
        </w:rPr>
        <w:t xml:space="preserve">: </w:t>
      </w:r>
      <w:r w:rsidR="008233C6">
        <w:rPr>
          <w:rFonts w:ascii="Arial" w:hAnsi="Arial" w:cs="Arial"/>
          <w:sz w:val="20"/>
          <w:szCs w:val="20"/>
        </w:rPr>
        <w:t>Supporting the Transition of ITS Warrants to a Permanent Home</w:t>
      </w:r>
    </w:p>
    <w:p w:rsidR="006914B8" w:rsidRPr="0000058A" w:rsidRDefault="006914B8" w:rsidP="0000058A">
      <w:pPr>
        <w:spacing w:after="0" w:line="240" w:lineRule="auto"/>
        <w:ind w:left="-720" w:right="-720"/>
        <w:rPr>
          <w:rFonts w:ascii="Arial" w:hAnsi="Arial" w:cs="Arial"/>
          <w:sz w:val="20"/>
          <w:szCs w:val="20"/>
        </w:rPr>
      </w:pPr>
    </w:p>
    <w:p w:rsidR="00C23749" w:rsidRDefault="006914B8" w:rsidP="0000058A">
      <w:pPr>
        <w:spacing w:after="0" w:line="240" w:lineRule="auto"/>
        <w:ind w:left="-720" w:right="-720"/>
        <w:rPr>
          <w:rFonts w:ascii="Arial" w:hAnsi="Arial" w:cs="Arial"/>
          <w:sz w:val="20"/>
          <w:szCs w:val="20"/>
        </w:rPr>
      </w:pPr>
      <w:r w:rsidRPr="0000058A">
        <w:rPr>
          <w:rFonts w:ascii="Arial" w:hAnsi="Arial" w:cs="Arial"/>
          <w:sz w:val="20"/>
          <w:szCs w:val="20"/>
        </w:rPr>
        <w:t>Projects authorized:</w:t>
      </w:r>
    </w:p>
    <w:p w:rsidR="008233C6" w:rsidRPr="008233C6" w:rsidRDefault="008233C6" w:rsidP="008233C6">
      <w:pPr>
        <w:pStyle w:val="ListParagraph"/>
        <w:numPr>
          <w:ilvl w:val="0"/>
          <w:numId w:val="15"/>
        </w:numPr>
        <w:ind w:right="-720"/>
        <w:rPr>
          <w:rFonts w:ascii="Arial" w:hAnsi="Arial" w:cs="Arial"/>
        </w:rPr>
      </w:pPr>
      <w:r>
        <w:rPr>
          <w:rFonts w:ascii="Arial" w:hAnsi="Arial" w:cs="Arial"/>
        </w:rPr>
        <w:t>None</w:t>
      </w:r>
    </w:p>
    <w:p w:rsidR="006914B8" w:rsidRPr="0000058A" w:rsidRDefault="006914B8" w:rsidP="0000058A">
      <w:pPr>
        <w:spacing w:after="0" w:line="240" w:lineRule="auto"/>
        <w:ind w:left="-720" w:right="-720"/>
        <w:rPr>
          <w:rFonts w:ascii="Arial" w:hAnsi="Arial" w:cs="Arial"/>
          <w:sz w:val="20"/>
          <w:szCs w:val="20"/>
        </w:rPr>
      </w:pPr>
    </w:p>
    <w:p w:rsidR="006914B8" w:rsidRPr="0000058A" w:rsidRDefault="006914B8"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266" w:rsidRDefault="006C5266" w:rsidP="00106C83">
      <w:pPr>
        <w:spacing w:after="0" w:line="240" w:lineRule="auto"/>
      </w:pPr>
      <w:r>
        <w:separator/>
      </w:r>
    </w:p>
  </w:endnote>
  <w:endnote w:type="continuationSeparator" w:id="0">
    <w:p w:rsidR="006C5266" w:rsidRDefault="006C526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1430C4">
    <w:pPr>
      <w:pStyle w:val="Footer"/>
    </w:pPr>
    <w:r>
      <w:t>ENTERPRISE Pooled F</w:t>
    </w:r>
    <w:r w:rsidR="005555EE">
      <w:t xml:space="preserve">und Program – Quarterly Report </w:t>
    </w:r>
    <w:r w:rsidR="008233C6">
      <w:t>October - December</w:t>
    </w:r>
    <w:r w:rsidR="006914B8">
      <w:t xml:space="preserve"> </w:t>
    </w:r>
    <w:r>
      <w:t>20</w:t>
    </w:r>
    <w:r w:rsidR="005555EE">
      <w:t>1</w:t>
    </w:r>
    <w:r w:rsidR="00C23749">
      <w:t>3</w:t>
    </w:r>
    <w:r w:rsidR="00AC4912">
      <w:t xml:space="preserve"> (Quarter </w:t>
    </w:r>
    <w:r w:rsidR="008233C6">
      <w:t>4</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266" w:rsidRDefault="006C5266" w:rsidP="00106C83">
      <w:pPr>
        <w:spacing w:after="0" w:line="240" w:lineRule="auto"/>
      </w:pPr>
      <w:r>
        <w:separator/>
      </w:r>
    </w:p>
  </w:footnote>
  <w:footnote w:type="continuationSeparator" w:id="0">
    <w:p w:rsidR="006C5266" w:rsidRDefault="006C526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13"/>
  </w:num>
  <w:num w:numId="6">
    <w:abstractNumId w:val="2"/>
  </w:num>
  <w:num w:numId="7">
    <w:abstractNumId w:val="4"/>
  </w:num>
  <w:num w:numId="8">
    <w:abstractNumId w:val="0"/>
  </w:num>
  <w:num w:numId="9">
    <w:abstractNumId w:val="7"/>
  </w:num>
  <w:num w:numId="10">
    <w:abstractNumId w:val="11"/>
  </w:num>
  <w:num w:numId="11">
    <w:abstractNumId w:val="8"/>
  </w:num>
  <w:num w:numId="12">
    <w:abstractNumId w:val="9"/>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58A"/>
    <w:rsid w:val="00011702"/>
    <w:rsid w:val="0003145A"/>
    <w:rsid w:val="00037FBC"/>
    <w:rsid w:val="000736BB"/>
    <w:rsid w:val="00083292"/>
    <w:rsid w:val="000A37B8"/>
    <w:rsid w:val="000B02E7"/>
    <w:rsid w:val="00106C83"/>
    <w:rsid w:val="001430C4"/>
    <w:rsid w:val="00161051"/>
    <w:rsid w:val="001766B1"/>
    <w:rsid w:val="00177805"/>
    <w:rsid w:val="001B71D1"/>
    <w:rsid w:val="00232C65"/>
    <w:rsid w:val="00284D1F"/>
    <w:rsid w:val="00293FD8"/>
    <w:rsid w:val="002A79C8"/>
    <w:rsid w:val="00332217"/>
    <w:rsid w:val="0038705A"/>
    <w:rsid w:val="003915F0"/>
    <w:rsid w:val="00391E0C"/>
    <w:rsid w:val="003A097E"/>
    <w:rsid w:val="003C2A3F"/>
    <w:rsid w:val="003F4D1D"/>
    <w:rsid w:val="004029E9"/>
    <w:rsid w:val="0040579E"/>
    <w:rsid w:val="004156B2"/>
    <w:rsid w:val="0049726E"/>
    <w:rsid w:val="004C1BC8"/>
    <w:rsid w:val="004D5A34"/>
    <w:rsid w:val="004E14DC"/>
    <w:rsid w:val="004F7F0A"/>
    <w:rsid w:val="005154B2"/>
    <w:rsid w:val="00551D8A"/>
    <w:rsid w:val="005555EE"/>
    <w:rsid w:val="00580E05"/>
    <w:rsid w:val="005A72D7"/>
    <w:rsid w:val="00611CF8"/>
    <w:rsid w:val="00646884"/>
    <w:rsid w:val="006914B8"/>
    <w:rsid w:val="006C5266"/>
    <w:rsid w:val="006E0E1F"/>
    <w:rsid w:val="007117EB"/>
    <w:rsid w:val="00725ADB"/>
    <w:rsid w:val="00742B61"/>
    <w:rsid w:val="00743C01"/>
    <w:rsid w:val="007511A7"/>
    <w:rsid w:val="00765F74"/>
    <w:rsid w:val="007A58B6"/>
    <w:rsid w:val="007B0FD3"/>
    <w:rsid w:val="008233C6"/>
    <w:rsid w:val="00833A32"/>
    <w:rsid w:val="00872F18"/>
    <w:rsid w:val="00874EF7"/>
    <w:rsid w:val="008A44F2"/>
    <w:rsid w:val="00905690"/>
    <w:rsid w:val="00963177"/>
    <w:rsid w:val="00986265"/>
    <w:rsid w:val="009B4AB1"/>
    <w:rsid w:val="009C4012"/>
    <w:rsid w:val="00A43875"/>
    <w:rsid w:val="00AA5C8B"/>
    <w:rsid w:val="00AC2C1B"/>
    <w:rsid w:val="00AC4912"/>
    <w:rsid w:val="00B20ED9"/>
    <w:rsid w:val="00B2185C"/>
    <w:rsid w:val="00B6022C"/>
    <w:rsid w:val="00B66A21"/>
    <w:rsid w:val="00B80F9B"/>
    <w:rsid w:val="00BD7B5A"/>
    <w:rsid w:val="00BF1E2A"/>
    <w:rsid w:val="00BF6971"/>
    <w:rsid w:val="00C05B09"/>
    <w:rsid w:val="00C13753"/>
    <w:rsid w:val="00C15BE6"/>
    <w:rsid w:val="00C162B6"/>
    <w:rsid w:val="00C1778A"/>
    <w:rsid w:val="00C23749"/>
    <w:rsid w:val="00C369A2"/>
    <w:rsid w:val="00C41F96"/>
    <w:rsid w:val="00C66A6C"/>
    <w:rsid w:val="00CC6B66"/>
    <w:rsid w:val="00CD174F"/>
    <w:rsid w:val="00CD749E"/>
    <w:rsid w:val="00D74A70"/>
    <w:rsid w:val="00DD1C8B"/>
    <w:rsid w:val="00DF6C00"/>
    <w:rsid w:val="00E414F5"/>
    <w:rsid w:val="00E53738"/>
    <w:rsid w:val="00E6245D"/>
    <w:rsid w:val="00E8494F"/>
    <w:rsid w:val="00EA135F"/>
    <w:rsid w:val="00EE0F80"/>
    <w:rsid w:val="00EE5DD9"/>
    <w:rsid w:val="00EF08AE"/>
    <w:rsid w:val="00EF2A2A"/>
    <w:rsid w:val="00EF4093"/>
    <w:rsid w:val="00EF5790"/>
    <w:rsid w:val="00F0026F"/>
    <w:rsid w:val="00F3126C"/>
    <w:rsid w:val="00F35A14"/>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nterprise.prog.org/itswarrant" TargetMode="External"/><Relationship Id="rId4" Type="http://schemas.microsoft.com/office/2007/relationships/stylesWithEffects" Target="stylesWithEffects.xml"/><Relationship Id="rId9" Type="http://schemas.openxmlformats.org/officeDocument/2006/relationships/hyperlink" Target="mailto:nederveldl@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02EBF-86F4-494F-8BA4-26A3DAD7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11133</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PC</cp:lastModifiedBy>
  <cp:revision>7</cp:revision>
  <dcterms:created xsi:type="dcterms:W3CDTF">2014-01-21T21:07:00Z</dcterms:created>
  <dcterms:modified xsi:type="dcterms:W3CDTF">2014-01-21T21:17:00Z</dcterms:modified>
</cp:coreProperties>
</file>