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EE2221">
        <w:rPr>
          <w:rFonts w:ascii="Arial" w:hAnsi="Arial" w:cs="Arial"/>
          <w:sz w:val="24"/>
          <w:szCs w:val="24"/>
        </w:rPr>
        <w:t>November 14</w:t>
      </w:r>
      <w:r w:rsidR="004129CA">
        <w:rPr>
          <w:rFonts w:ascii="Arial" w:hAnsi="Arial" w:cs="Arial"/>
          <w:sz w:val="24"/>
          <w:szCs w:val="24"/>
        </w:rPr>
        <w:t>, 201</w:t>
      </w:r>
      <w:r w:rsidR="00E55DE2">
        <w:rPr>
          <w:rFonts w:ascii="Arial" w:hAnsi="Arial" w:cs="Arial"/>
          <w:sz w:val="24"/>
          <w:szCs w:val="24"/>
        </w:rPr>
        <w:t>3</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1350DE" w:rsidRDefault="00F33638" w:rsidP="00C33692">
            <w:pPr>
              <w:spacing w:after="0" w:line="240" w:lineRule="auto"/>
              <w:ind w:right="-720"/>
              <w:rPr>
                <w:rFonts w:ascii="Arial" w:hAnsi="Arial" w:cs="Arial"/>
                <w:b/>
                <w:sz w:val="24"/>
                <w:szCs w:val="24"/>
              </w:rPr>
            </w:pPr>
            <w:r w:rsidRPr="00C33692">
              <w:rPr>
                <w:rFonts w:ascii="Arial" w:hAnsi="Arial" w:cs="Arial"/>
                <w:i/>
                <w:sz w:val="20"/>
                <w:szCs w:val="20"/>
              </w:rPr>
              <w:t xml:space="preserve"> </w:t>
            </w:r>
            <w:r w:rsidRPr="001350DE">
              <w:rPr>
                <w:rFonts w:ascii="Arial" w:hAnsi="Arial" w:cs="Arial"/>
                <w:b/>
                <w:sz w:val="24"/>
                <w:szCs w:val="24"/>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1908C9" w:rsidP="00C33692">
            <w:pPr>
              <w:spacing w:after="0" w:line="240" w:lineRule="auto"/>
              <w:ind w:right="-720"/>
              <w:rPr>
                <w:rFonts w:ascii="Arial" w:hAnsi="Arial" w:cs="Arial"/>
                <w:sz w:val="20"/>
                <w:szCs w:val="20"/>
              </w:rPr>
            </w:pPr>
            <w:r w:rsidRPr="005E5D2B">
              <w:rPr>
                <w:rFonts w:ascii="Arial" w:hAnsi="Arial" w:cs="Arial"/>
                <w:sz w:val="36"/>
                <w:szCs w:val="36"/>
              </w:rPr>
              <w:t>□</w:t>
            </w:r>
            <w:r w:rsidR="00F33638" w:rsidRPr="00C33692">
              <w:rPr>
                <w:rFonts w:ascii="Arial" w:hAnsi="Arial" w:cs="Arial"/>
                <w:sz w:val="20"/>
                <w:szCs w:val="20"/>
              </w:rPr>
              <w:t>Quarter 1 (January 1 – March 31)</w:t>
            </w:r>
          </w:p>
          <w:p w:rsidR="00F33638" w:rsidRPr="00C33692" w:rsidRDefault="00F33638" w:rsidP="00C33692">
            <w:pPr>
              <w:spacing w:after="0" w:line="240" w:lineRule="auto"/>
              <w:ind w:right="-720"/>
              <w:rPr>
                <w:rFonts w:ascii="Arial" w:hAnsi="Arial" w:cs="Arial"/>
                <w:sz w:val="20"/>
                <w:szCs w:val="20"/>
              </w:rPr>
            </w:pPr>
            <w:r w:rsidRPr="00EE2221">
              <w:rPr>
                <w:rFonts w:ascii="Arial" w:hAnsi="Arial" w:cs="Arial"/>
                <w:sz w:val="36"/>
                <w:szCs w:val="36"/>
              </w:rPr>
              <w:t>□</w:t>
            </w:r>
            <w:r w:rsidRPr="00C33692">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EE2221">
              <w:rPr>
                <w:rFonts w:ascii="Arial" w:hAnsi="Arial" w:cs="Arial"/>
                <w:sz w:val="36"/>
                <w:szCs w:val="36"/>
                <w:highlight w:val="yellow"/>
              </w:rPr>
              <w:t>□</w:t>
            </w:r>
            <w:r w:rsidRPr="00EE2221">
              <w:rPr>
                <w:rFonts w:ascii="Arial" w:hAnsi="Arial" w:cs="Arial"/>
                <w:sz w:val="20"/>
                <w:szCs w:val="20"/>
                <w:highlight w:val="yellow"/>
              </w:rPr>
              <w:t>Quarter 3 (July 1 – September 30)</w:t>
            </w:r>
          </w:p>
          <w:p w:rsidR="00F33638" w:rsidRPr="00C33692" w:rsidRDefault="00F33638" w:rsidP="00C33692">
            <w:pPr>
              <w:spacing w:after="0" w:line="240" w:lineRule="auto"/>
              <w:ind w:right="-720"/>
              <w:rPr>
                <w:rFonts w:ascii="Arial" w:hAnsi="Arial" w:cs="Arial"/>
                <w:sz w:val="20"/>
                <w:szCs w:val="20"/>
              </w:rPr>
            </w:pPr>
            <w:r w:rsidRPr="005E37FE">
              <w:rPr>
                <w:rFonts w:ascii="Arial" w:hAnsi="Arial" w:cs="Arial"/>
                <w:sz w:val="36"/>
                <w:szCs w:val="36"/>
              </w:rPr>
              <w:t>□</w:t>
            </w:r>
            <w:r w:rsidRPr="00C33692">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F0712E" w:rsidRDefault="001350DE" w:rsidP="00C33692">
            <w:pPr>
              <w:spacing w:after="0" w:line="240" w:lineRule="auto"/>
              <w:ind w:right="-720"/>
              <w:rPr>
                <w:rFonts w:ascii="Arial" w:hAnsi="Arial" w:cs="Arial"/>
                <w:b/>
              </w:rPr>
            </w:pPr>
            <w:r w:rsidRPr="00F0712E">
              <w:rPr>
                <w:rFonts w:ascii="Arial" w:hAnsi="Arial" w:cs="Arial"/>
                <w:b/>
              </w:rPr>
              <w:t xml:space="preserve">Evaluation and Analysis of Decked </w:t>
            </w:r>
            <w:r w:rsidR="00F33638" w:rsidRPr="00F0712E">
              <w:rPr>
                <w:rFonts w:ascii="Arial" w:hAnsi="Arial" w:cs="Arial"/>
                <w:b/>
              </w:rPr>
              <w:t xml:space="preserve">Bulb-T Beam </w:t>
            </w:r>
            <w:r w:rsidRPr="00F0712E">
              <w:rPr>
                <w:rFonts w:ascii="Arial" w:hAnsi="Arial" w:cs="Arial"/>
                <w:b/>
              </w:rPr>
              <w:t>Bridge (</w:t>
            </w:r>
            <w:r w:rsidR="00F33638" w:rsidRPr="00F0712E">
              <w:rPr>
                <w:rFonts w:ascii="Arial" w:hAnsi="Arial" w:cs="Arial"/>
                <w:b/>
              </w:rPr>
              <w:t>As Alternate ABC to Side-by-Side Box Beam</w:t>
            </w:r>
            <w:r w:rsidRPr="00F0712E">
              <w:rPr>
                <w:rFonts w:ascii="Arial" w:hAnsi="Arial" w:cs="Arial"/>
                <w:b/>
              </w:rPr>
              <w:t>)</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A1EF5" w:rsidRDefault="00F33638" w:rsidP="00C33692">
            <w:pPr>
              <w:spacing w:after="0" w:line="240" w:lineRule="auto"/>
              <w:ind w:right="-720"/>
              <w:rPr>
                <w:rFonts w:ascii="Arial" w:hAnsi="Arial" w:cs="Arial"/>
                <w:sz w:val="20"/>
                <w:szCs w:val="20"/>
              </w:rPr>
            </w:pPr>
            <w:r w:rsidRPr="00B32E78">
              <w:rPr>
                <w:rFonts w:ascii="Arial" w:hAnsi="Arial" w:cs="Arial"/>
                <w:sz w:val="20"/>
                <w:szCs w:val="20"/>
              </w:rPr>
              <w:t>David Juntunen, P.E.</w:t>
            </w:r>
            <w:r w:rsidR="001A1EF5">
              <w:rPr>
                <w:rFonts w:ascii="Arial" w:hAnsi="Arial" w:cs="Arial"/>
                <w:sz w:val="20"/>
                <w:szCs w:val="20"/>
              </w:rPr>
              <w:t>/</w:t>
            </w:r>
          </w:p>
          <w:p w:rsidR="00F33638" w:rsidRPr="00B32E78" w:rsidRDefault="001A1EF5" w:rsidP="00C33692">
            <w:pPr>
              <w:spacing w:after="0" w:line="240" w:lineRule="auto"/>
              <w:ind w:right="-720"/>
              <w:rPr>
                <w:rFonts w:ascii="Arial" w:hAnsi="Arial" w:cs="Arial"/>
                <w:sz w:val="20"/>
                <w:szCs w:val="20"/>
              </w:rPr>
            </w:pPr>
            <w:r>
              <w:rPr>
                <w:rFonts w:ascii="Arial" w:hAnsi="Arial" w:cs="Arial"/>
                <w:sz w:val="20"/>
                <w:szCs w:val="20"/>
              </w:rPr>
              <w:t>Matthew Chynoweth, P.E</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F33638" w:rsidRDefault="00F33638" w:rsidP="001A1EF5">
            <w:pPr>
              <w:spacing w:after="0" w:line="240" w:lineRule="auto"/>
              <w:ind w:right="-720"/>
              <w:rPr>
                <w:rFonts w:ascii="Arial" w:hAnsi="Arial" w:cs="Arial"/>
                <w:sz w:val="20"/>
                <w:szCs w:val="20"/>
              </w:rPr>
            </w:pPr>
            <w:r w:rsidRPr="00B32E78">
              <w:rPr>
                <w:rFonts w:ascii="Arial" w:hAnsi="Arial" w:cs="Arial"/>
                <w:sz w:val="20"/>
                <w:szCs w:val="20"/>
              </w:rPr>
              <w:t>517-</w:t>
            </w:r>
            <w:r w:rsidR="001A1EF5">
              <w:rPr>
                <w:rFonts w:ascii="Arial" w:hAnsi="Arial" w:cs="Arial"/>
                <w:sz w:val="20"/>
                <w:szCs w:val="20"/>
              </w:rPr>
              <w:t>335</w:t>
            </w:r>
            <w:r w:rsidRPr="00B32E78">
              <w:rPr>
                <w:rFonts w:ascii="Arial" w:hAnsi="Arial" w:cs="Arial"/>
                <w:sz w:val="20"/>
                <w:szCs w:val="20"/>
              </w:rPr>
              <w:t>-</w:t>
            </w:r>
            <w:r w:rsidR="001A1EF5">
              <w:rPr>
                <w:rFonts w:ascii="Arial" w:hAnsi="Arial" w:cs="Arial"/>
                <w:sz w:val="20"/>
                <w:szCs w:val="20"/>
              </w:rPr>
              <w:t>2993</w:t>
            </w:r>
          </w:p>
          <w:p w:rsidR="001A1EF5" w:rsidRPr="00B32E78" w:rsidRDefault="001A1EF5" w:rsidP="001A1EF5">
            <w:pPr>
              <w:spacing w:after="0" w:line="240" w:lineRule="auto"/>
              <w:ind w:right="-720"/>
              <w:rPr>
                <w:rFonts w:ascii="Arial" w:hAnsi="Arial" w:cs="Arial"/>
                <w:sz w:val="20"/>
                <w:szCs w:val="20"/>
              </w:rPr>
            </w:pPr>
            <w:r>
              <w:rPr>
                <w:rFonts w:ascii="Arial" w:hAnsi="Arial" w:cs="Arial"/>
                <w:sz w:val="20"/>
                <w:szCs w:val="20"/>
              </w:rPr>
              <w:t>517-322-3322</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juntunend@michigan.gov</w:t>
            </w:r>
          </w:p>
          <w:p w:rsidR="00F33638" w:rsidRPr="00C33692" w:rsidRDefault="001A1EF5" w:rsidP="00C33692">
            <w:pPr>
              <w:spacing w:after="0" w:line="240" w:lineRule="auto"/>
              <w:ind w:right="-720"/>
              <w:rPr>
                <w:rFonts w:ascii="Arial" w:hAnsi="Arial" w:cs="Arial"/>
                <w:sz w:val="20"/>
                <w:szCs w:val="20"/>
              </w:rPr>
            </w:pPr>
            <w:r>
              <w:rPr>
                <w:rFonts w:ascii="Arial" w:hAnsi="Arial" w:cs="Arial"/>
                <w:sz w:val="20"/>
                <w:szCs w:val="20"/>
              </w:rPr>
              <w:t>ChynowethM@michigan.gov</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C33692" w:rsidRDefault="00F33638" w:rsidP="00C33692">
            <w:pPr>
              <w:spacing w:after="0" w:line="240" w:lineRule="auto"/>
              <w:ind w:right="-720"/>
              <w:rPr>
                <w:rFonts w:ascii="Arial" w:hAnsi="Arial" w:cs="Arial"/>
                <w:b/>
                <w:sz w:val="20"/>
                <w:szCs w:val="20"/>
              </w:rPr>
            </w:pPr>
            <w:r w:rsidRPr="00AD74FD">
              <w:rPr>
                <w:rFonts w:ascii="Arial" w:hAnsi="Arial" w:cs="Arial"/>
                <w:sz w:val="20"/>
                <w:szCs w:val="20"/>
              </w:rPr>
              <w:t>September 30, 2014</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None.</w:t>
            </w:r>
          </w:p>
          <w:p w:rsidR="00F33638" w:rsidRPr="00C33692" w:rsidRDefault="00F33638" w:rsidP="00C33692">
            <w:pPr>
              <w:spacing w:after="0" w:line="240" w:lineRule="auto"/>
              <w:ind w:right="-720"/>
              <w:rPr>
                <w:rFonts w:ascii="Arial" w:hAnsi="Arial" w:cs="Arial"/>
                <w:sz w:val="20"/>
                <w:szCs w:val="20"/>
              </w:rPr>
            </w:pP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EE2221">
        <w:rPr>
          <w:rFonts w:ascii="Arial" w:hAnsi="Arial" w:cs="Arial"/>
          <w:sz w:val="36"/>
          <w:szCs w:val="36"/>
          <w:highlight w:val="yellow"/>
        </w:rPr>
        <w:t>□</w:t>
      </w:r>
      <w:r w:rsidRPr="00EE2221">
        <w:rPr>
          <w:rFonts w:ascii="Arial" w:hAnsi="Arial" w:cs="Arial"/>
          <w:sz w:val="20"/>
          <w:szCs w:val="20"/>
          <w:highlight w:val="yellow"/>
        </w:rPr>
        <w:t>On schedule</w:t>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EE2221">
        <w:rPr>
          <w:rFonts w:ascii="Arial" w:hAnsi="Arial" w:cs="Arial"/>
          <w:sz w:val="36"/>
          <w:szCs w:val="36"/>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3330"/>
        <w:gridCol w:w="3060"/>
      </w:tblGrid>
      <w:tr w:rsidR="00F33638" w:rsidRPr="00C33692" w:rsidTr="00C91275">
        <w:tc>
          <w:tcPr>
            <w:tcW w:w="451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06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91275">
        <w:tc>
          <w:tcPr>
            <w:tcW w:w="4518" w:type="dxa"/>
          </w:tcPr>
          <w:p w:rsidR="00C91275" w:rsidRDefault="00C91275" w:rsidP="00C1239C">
            <w:pPr>
              <w:spacing w:after="0" w:line="240" w:lineRule="auto"/>
              <w:ind w:right="-720"/>
              <w:rPr>
                <w:rFonts w:ascii="Arial" w:hAnsi="Arial" w:cs="Arial"/>
                <w:sz w:val="20"/>
                <w:szCs w:val="20"/>
              </w:rPr>
            </w:pPr>
            <w:r>
              <w:rPr>
                <w:rFonts w:ascii="Arial" w:hAnsi="Arial" w:cs="Arial"/>
                <w:sz w:val="20"/>
                <w:szCs w:val="20"/>
              </w:rPr>
              <w:t>TOTAL PROJECT BUDGET: $3</w:t>
            </w:r>
            <w:r w:rsidR="00EE2221">
              <w:rPr>
                <w:rFonts w:ascii="Arial" w:hAnsi="Arial" w:cs="Arial"/>
                <w:sz w:val="20"/>
                <w:szCs w:val="20"/>
              </w:rPr>
              <w:t>67,200</w:t>
            </w:r>
            <w:r>
              <w:rPr>
                <w:rFonts w:ascii="Arial" w:hAnsi="Arial" w:cs="Arial"/>
                <w:sz w:val="20"/>
                <w:szCs w:val="20"/>
              </w:rPr>
              <w:t>.</w:t>
            </w:r>
          </w:p>
          <w:p w:rsidR="00F33638" w:rsidRDefault="00C91275" w:rsidP="00C1239C">
            <w:pPr>
              <w:spacing w:after="0" w:line="240" w:lineRule="auto"/>
              <w:ind w:right="-720"/>
              <w:rPr>
                <w:rFonts w:ascii="Arial" w:hAnsi="Arial" w:cs="Arial"/>
                <w:sz w:val="20"/>
                <w:szCs w:val="20"/>
              </w:rPr>
            </w:pPr>
            <w:r>
              <w:rPr>
                <w:rFonts w:ascii="Arial" w:hAnsi="Arial" w:cs="Arial"/>
                <w:sz w:val="20"/>
                <w:szCs w:val="20"/>
              </w:rPr>
              <w:t xml:space="preserve">Research Work: </w:t>
            </w:r>
            <w:r w:rsidR="00C1239C">
              <w:rPr>
                <w:rFonts w:ascii="Arial" w:hAnsi="Arial" w:cs="Arial"/>
                <w:sz w:val="20"/>
                <w:szCs w:val="20"/>
              </w:rPr>
              <w:t xml:space="preserve"> </w:t>
            </w:r>
            <w:r>
              <w:rPr>
                <w:rFonts w:ascii="Arial" w:hAnsi="Arial" w:cs="Arial"/>
                <w:sz w:val="20"/>
                <w:szCs w:val="20"/>
              </w:rPr>
              <w:t xml:space="preserve"> </w:t>
            </w:r>
            <w:r w:rsidR="00E005DA">
              <w:rPr>
                <w:rFonts w:ascii="Arial" w:hAnsi="Arial" w:cs="Arial"/>
                <w:sz w:val="20"/>
                <w:szCs w:val="20"/>
              </w:rPr>
              <w:t>$349,000</w:t>
            </w:r>
            <w:r w:rsidR="004327D3">
              <w:rPr>
                <w:rFonts w:ascii="Arial" w:hAnsi="Arial" w:cs="Arial"/>
                <w:sz w:val="20"/>
                <w:szCs w:val="20"/>
              </w:rPr>
              <w:t>.</w:t>
            </w:r>
          </w:p>
          <w:p w:rsidR="00C91275" w:rsidRPr="00C33692" w:rsidRDefault="00C91275" w:rsidP="00EE2221">
            <w:pPr>
              <w:spacing w:after="0" w:line="240" w:lineRule="auto"/>
              <w:ind w:right="-720"/>
              <w:rPr>
                <w:rFonts w:ascii="Arial" w:hAnsi="Arial" w:cs="Arial"/>
                <w:sz w:val="20"/>
                <w:szCs w:val="20"/>
              </w:rPr>
            </w:pPr>
            <w:r>
              <w:rPr>
                <w:rFonts w:ascii="Arial" w:hAnsi="Arial" w:cs="Arial"/>
                <w:sz w:val="20"/>
                <w:szCs w:val="20"/>
              </w:rPr>
              <w:t xml:space="preserve">Travel Budget:    </w:t>
            </w:r>
            <w:r w:rsidR="00C1239C">
              <w:rPr>
                <w:rFonts w:ascii="Arial" w:hAnsi="Arial" w:cs="Arial"/>
                <w:sz w:val="20"/>
                <w:szCs w:val="20"/>
              </w:rPr>
              <w:t xml:space="preserve"> </w:t>
            </w:r>
            <w:proofErr w:type="gramStart"/>
            <w:r>
              <w:rPr>
                <w:rFonts w:ascii="Arial" w:hAnsi="Arial" w:cs="Arial"/>
                <w:sz w:val="20"/>
                <w:szCs w:val="20"/>
              </w:rPr>
              <w:t>$  1</w:t>
            </w:r>
            <w:r w:rsidR="00EE2221">
              <w:rPr>
                <w:rFonts w:ascii="Arial" w:hAnsi="Arial" w:cs="Arial"/>
                <w:sz w:val="20"/>
                <w:szCs w:val="20"/>
              </w:rPr>
              <w:t>8</w:t>
            </w:r>
            <w:r>
              <w:rPr>
                <w:rFonts w:ascii="Arial" w:hAnsi="Arial" w:cs="Arial"/>
                <w:sz w:val="20"/>
                <w:szCs w:val="20"/>
              </w:rPr>
              <w:t>,</w:t>
            </w:r>
            <w:r w:rsidR="00EE2221">
              <w:rPr>
                <w:rFonts w:ascii="Arial" w:hAnsi="Arial" w:cs="Arial"/>
                <w:sz w:val="20"/>
                <w:szCs w:val="20"/>
              </w:rPr>
              <w:t>2</w:t>
            </w:r>
            <w:r>
              <w:rPr>
                <w:rFonts w:ascii="Arial" w:hAnsi="Arial" w:cs="Arial"/>
                <w:sz w:val="20"/>
                <w:szCs w:val="20"/>
              </w:rPr>
              <w:t>00</w:t>
            </w:r>
            <w:proofErr w:type="gramEnd"/>
            <w:r>
              <w:rPr>
                <w:rFonts w:ascii="Arial" w:hAnsi="Arial" w:cs="Arial"/>
                <w:sz w:val="20"/>
                <w:szCs w:val="20"/>
              </w:rPr>
              <w:t>. (Amendment</w:t>
            </w:r>
            <w:r w:rsidR="00EE2221">
              <w:rPr>
                <w:rFonts w:ascii="Arial" w:hAnsi="Arial" w:cs="Arial"/>
                <w:sz w:val="20"/>
                <w:szCs w:val="20"/>
              </w:rPr>
              <w:t>s</w:t>
            </w:r>
            <w:r>
              <w:rPr>
                <w:rFonts w:ascii="Arial" w:hAnsi="Arial" w:cs="Arial"/>
                <w:sz w:val="20"/>
                <w:szCs w:val="20"/>
              </w:rPr>
              <w:t>)</w:t>
            </w:r>
          </w:p>
        </w:tc>
        <w:tc>
          <w:tcPr>
            <w:tcW w:w="3330" w:type="dxa"/>
          </w:tcPr>
          <w:p w:rsidR="00EE2221" w:rsidRDefault="00EE2221" w:rsidP="00C91275">
            <w:pPr>
              <w:spacing w:after="0" w:line="240" w:lineRule="auto"/>
              <w:ind w:right="-720"/>
              <w:rPr>
                <w:rFonts w:ascii="Arial" w:hAnsi="Arial" w:cs="Arial"/>
                <w:sz w:val="20"/>
                <w:szCs w:val="20"/>
              </w:rPr>
            </w:pPr>
          </w:p>
          <w:p w:rsidR="00F33638" w:rsidRDefault="00EE2221" w:rsidP="00EE2221">
            <w:pPr>
              <w:spacing w:after="0" w:line="240" w:lineRule="auto"/>
              <w:ind w:right="-720"/>
              <w:rPr>
                <w:rFonts w:ascii="Arial" w:hAnsi="Arial" w:cs="Arial"/>
                <w:sz w:val="20"/>
                <w:szCs w:val="20"/>
              </w:rPr>
            </w:pPr>
            <w:r>
              <w:rPr>
                <w:rFonts w:ascii="Arial" w:hAnsi="Arial" w:cs="Arial"/>
                <w:sz w:val="20"/>
                <w:szCs w:val="20"/>
              </w:rPr>
              <w:t xml:space="preserve">Research Work: $ </w:t>
            </w:r>
            <w:r w:rsidR="00C91275">
              <w:rPr>
                <w:rFonts w:ascii="Arial" w:hAnsi="Arial" w:cs="Arial"/>
                <w:sz w:val="20"/>
                <w:szCs w:val="20"/>
              </w:rPr>
              <w:t>2</w:t>
            </w:r>
            <w:r>
              <w:rPr>
                <w:rFonts w:ascii="Arial" w:hAnsi="Arial" w:cs="Arial"/>
                <w:sz w:val="20"/>
                <w:szCs w:val="20"/>
              </w:rPr>
              <w:t>60</w:t>
            </w:r>
            <w:r w:rsidR="00E005DA">
              <w:rPr>
                <w:rFonts w:ascii="Arial" w:hAnsi="Arial" w:cs="Arial"/>
                <w:sz w:val="20"/>
                <w:szCs w:val="20"/>
              </w:rPr>
              <w:t>,</w:t>
            </w:r>
            <w:r>
              <w:rPr>
                <w:rFonts w:ascii="Arial" w:hAnsi="Arial" w:cs="Arial"/>
                <w:sz w:val="20"/>
                <w:szCs w:val="20"/>
              </w:rPr>
              <w:t>959.</w:t>
            </w:r>
          </w:p>
          <w:p w:rsidR="00EE2221" w:rsidRPr="00C33692" w:rsidRDefault="00EE2221" w:rsidP="00EE2221">
            <w:pPr>
              <w:spacing w:after="0" w:line="240" w:lineRule="auto"/>
              <w:ind w:right="-720"/>
              <w:rPr>
                <w:rFonts w:ascii="Arial" w:hAnsi="Arial" w:cs="Arial"/>
                <w:sz w:val="20"/>
                <w:szCs w:val="20"/>
              </w:rPr>
            </w:pPr>
            <w:r>
              <w:rPr>
                <w:rFonts w:ascii="Arial" w:hAnsi="Arial" w:cs="Arial"/>
                <w:sz w:val="20"/>
                <w:szCs w:val="20"/>
              </w:rPr>
              <w:t>Travel Costs:     $     4,325.</w:t>
            </w:r>
          </w:p>
        </w:tc>
        <w:tc>
          <w:tcPr>
            <w:tcW w:w="3060" w:type="dxa"/>
          </w:tcPr>
          <w:p w:rsidR="00F33638" w:rsidRPr="00C33692" w:rsidRDefault="00C070D8" w:rsidP="00C33692">
            <w:pPr>
              <w:spacing w:after="0" w:line="240" w:lineRule="auto"/>
              <w:ind w:right="-720"/>
              <w:rPr>
                <w:rFonts w:ascii="Arial" w:hAnsi="Arial" w:cs="Arial"/>
                <w:sz w:val="20"/>
                <w:szCs w:val="20"/>
              </w:rPr>
            </w:pPr>
            <w:r>
              <w:rPr>
                <w:rFonts w:ascii="Arial" w:hAnsi="Arial" w:cs="Arial"/>
                <w:sz w:val="20"/>
                <w:szCs w:val="20"/>
              </w:rPr>
              <w:t>67</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F33638" w:rsidRPr="00C33692" w:rsidRDefault="00F33638" w:rsidP="009464A2">
            <w:pPr>
              <w:spacing w:after="0" w:line="240" w:lineRule="auto"/>
              <w:ind w:right="-720"/>
              <w:rPr>
                <w:rFonts w:ascii="Arial" w:hAnsi="Arial" w:cs="Arial"/>
                <w:sz w:val="20"/>
                <w:szCs w:val="20"/>
              </w:rPr>
            </w:pPr>
            <w:r>
              <w:rPr>
                <w:rFonts w:ascii="Arial" w:hAnsi="Arial" w:cs="Arial"/>
                <w:sz w:val="20"/>
                <w:szCs w:val="20"/>
              </w:rPr>
              <w:t>$</w:t>
            </w:r>
            <w:r w:rsidR="009464A2">
              <w:rPr>
                <w:rFonts w:ascii="Arial" w:hAnsi="Arial" w:cs="Arial"/>
                <w:sz w:val="20"/>
                <w:szCs w:val="20"/>
              </w:rPr>
              <w:t>232</w:t>
            </w:r>
            <w:r w:rsidR="004129CA">
              <w:rPr>
                <w:rFonts w:ascii="Arial" w:hAnsi="Arial" w:cs="Arial"/>
                <w:sz w:val="20"/>
                <w:szCs w:val="20"/>
              </w:rPr>
              <w:t>,</w:t>
            </w:r>
            <w:r w:rsidR="009464A2">
              <w:rPr>
                <w:rFonts w:ascii="Arial" w:hAnsi="Arial" w:cs="Arial"/>
                <w:sz w:val="20"/>
                <w:szCs w:val="20"/>
              </w:rPr>
              <w:t>607.52</w:t>
            </w:r>
            <w:r w:rsidR="00EE5D85">
              <w:rPr>
                <w:rFonts w:ascii="Arial" w:hAnsi="Arial" w:cs="Arial"/>
                <w:sz w:val="20"/>
                <w:szCs w:val="20"/>
              </w:rPr>
              <w:t xml:space="preserve"> (</w:t>
            </w:r>
            <w:r w:rsidR="009464A2">
              <w:rPr>
                <w:rFonts w:ascii="Arial" w:hAnsi="Arial" w:cs="Arial"/>
                <w:sz w:val="20"/>
                <w:szCs w:val="20"/>
              </w:rPr>
              <w:t>67</w:t>
            </w:r>
            <w:r w:rsidR="00E005DA">
              <w:rPr>
                <w:rFonts w:ascii="Arial" w:hAnsi="Arial" w:cs="Arial"/>
                <w:sz w:val="20"/>
                <w:szCs w:val="20"/>
              </w:rPr>
              <w:t>%)</w:t>
            </w:r>
          </w:p>
        </w:tc>
        <w:tc>
          <w:tcPr>
            <w:tcW w:w="3330" w:type="dxa"/>
          </w:tcPr>
          <w:p w:rsidR="00F33638" w:rsidRPr="00C33692" w:rsidRDefault="00F33638" w:rsidP="00F619C6">
            <w:pPr>
              <w:spacing w:after="0" w:line="240" w:lineRule="auto"/>
              <w:ind w:right="-720"/>
              <w:rPr>
                <w:rFonts w:ascii="Arial" w:hAnsi="Arial" w:cs="Arial"/>
                <w:sz w:val="20"/>
                <w:szCs w:val="20"/>
              </w:rPr>
            </w:pPr>
            <w:r>
              <w:rPr>
                <w:rFonts w:ascii="Arial" w:hAnsi="Arial" w:cs="Arial"/>
                <w:sz w:val="20"/>
                <w:szCs w:val="20"/>
              </w:rPr>
              <w:t>$</w:t>
            </w:r>
            <w:r w:rsidR="00F619C6">
              <w:rPr>
                <w:rFonts w:ascii="Arial" w:hAnsi="Arial" w:cs="Arial"/>
                <w:sz w:val="20"/>
                <w:szCs w:val="20"/>
              </w:rPr>
              <w:t>46</w:t>
            </w:r>
            <w:r w:rsidR="004129CA">
              <w:rPr>
                <w:rFonts w:ascii="Arial" w:hAnsi="Arial" w:cs="Arial"/>
                <w:sz w:val="20"/>
                <w:szCs w:val="20"/>
              </w:rPr>
              <w:t>,</w:t>
            </w:r>
            <w:r w:rsidR="00F619C6">
              <w:rPr>
                <w:rFonts w:ascii="Arial" w:hAnsi="Arial" w:cs="Arial"/>
                <w:sz w:val="20"/>
                <w:szCs w:val="20"/>
              </w:rPr>
              <w:t>770</w:t>
            </w:r>
            <w:r w:rsidR="004327D3">
              <w:rPr>
                <w:rFonts w:ascii="Arial" w:hAnsi="Arial" w:cs="Arial"/>
                <w:sz w:val="20"/>
                <w:szCs w:val="20"/>
              </w:rPr>
              <w:t>.</w:t>
            </w:r>
          </w:p>
        </w:tc>
        <w:tc>
          <w:tcPr>
            <w:tcW w:w="3420" w:type="dxa"/>
          </w:tcPr>
          <w:p w:rsidR="00F33638" w:rsidRPr="00C33692" w:rsidRDefault="003E5F56" w:rsidP="00C33692">
            <w:pPr>
              <w:spacing w:after="0" w:line="240" w:lineRule="auto"/>
              <w:ind w:right="-720"/>
              <w:rPr>
                <w:rFonts w:ascii="Arial" w:hAnsi="Arial" w:cs="Arial"/>
                <w:sz w:val="20"/>
                <w:szCs w:val="20"/>
              </w:rPr>
            </w:pPr>
            <w:r>
              <w:rPr>
                <w:rFonts w:ascii="Arial" w:hAnsi="Arial" w:cs="Arial"/>
                <w:sz w:val="20"/>
                <w:szCs w:val="20"/>
              </w:rPr>
              <w:t>5</w:t>
            </w:r>
            <w:r w:rsidR="00F619C6">
              <w:rPr>
                <w:rFonts w:ascii="Arial" w:hAnsi="Arial" w:cs="Arial"/>
                <w:sz w:val="20"/>
                <w:szCs w:val="20"/>
              </w:rPr>
              <w:t>4</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pPr>
        <w:rPr>
          <w:rFonts w:ascii="Arial" w:hAnsi="Arial" w:cs="Arial"/>
          <w:sz w:val="20"/>
          <w:szCs w:val="20"/>
        </w:rPr>
      </w:pPr>
      <w:r>
        <w:rPr>
          <w:rFonts w:ascii="Arial" w:hAnsi="Arial" w:cs="Arial"/>
          <w:sz w:val="20"/>
          <w:szCs w:val="20"/>
        </w:rPr>
        <w:br w:type="page"/>
      </w: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904AC1">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The project is on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92304">
              <w:rPr>
                <w:rFonts w:ascii="Arial" w:hAnsi="Arial" w:cs="Arial"/>
                <w:sz w:val="20"/>
                <w:szCs w:val="20"/>
              </w:rPr>
              <w:t>100</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133AE9">
              <w:rPr>
                <w:rFonts w:ascii="Arial" w:hAnsi="Arial" w:cs="Arial"/>
                <w:sz w:val="20"/>
                <w:szCs w:val="20"/>
              </w:rPr>
              <w:t>98</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6741D6" w:rsidRDefault="00865184" w:rsidP="006741D6">
            <w:pPr>
              <w:spacing w:after="0" w:line="240" w:lineRule="auto"/>
              <w:ind w:right="-720"/>
              <w:rPr>
                <w:rFonts w:ascii="Arial" w:hAnsi="Arial" w:cs="Arial"/>
                <w:sz w:val="20"/>
                <w:szCs w:val="20"/>
              </w:rPr>
            </w:pPr>
            <w:bookmarkStart w:id="0" w:name="_GoBack"/>
            <w:bookmarkEnd w:id="0"/>
            <w:r>
              <w:rPr>
                <w:rFonts w:ascii="Arial" w:hAnsi="Arial" w:cs="Arial"/>
                <w:sz w:val="20"/>
                <w:szCs w:val="20"/>
              </w:rPr>
              <w:t xml:space="preserve">Percent of Completion: </w:t>
            </w:r>
            <w:r w:rsidR="006741D6">
              <w:rPr>
                <w:rFonts w:ascii="Arial" w:hAnsi="Arial" w:cs="Arial"/>
                <w:sz w:val="20"/>
                <w:szCs w:val="20"/>
              </w:rPr>
              <w:t>Experimental Investigation (EI)</w:t>
            </w:r>
            <w:r>
              <w:rPr>
                <w:rFonts w:ascii="Arial" w:hAnsi="Arial" w:cs="Arial"/>
                <w:sz w:val="20"/>
                <w:szCs w:val="20"/>
              </w:rPr>
              <w:t xml:space="preserve"> Portion</w:t>
            </w:r>
            <w:r w:rsidR="006741D6">
              <w:rPr>
                <w:rFonts w:ascii="Arial" w:hAnsi="Arial" w:cs="Arial"/>
                <w:sz w:val="20"/>
                <w:szCs w:val="20"/>
              </w:rPr>
              <w:t xml:space="preserve"> ~</w:t>
            </w:r>
            <w:r w:rsidR="00133AE9">
              <w:rPr>
                <w:rFonts w:ascii="Arial" w:hAnsi="Arial" w:cs="Arial"/>
                <w:sz w:val="20"/>
                <w:szCs w:val="20"/>
              </w:rPr>
              <w:t>10</w:t>
            </w:r>
            <w:r w:rsidR="003608FD">
              <w:rPr>
                <w:rFonts w:ascii="Arial" w:hAnsi="Arial" w:cs="Arial"/>
                <w:sz w:val="20"/>
                <w:szCs w:val="20"/>
              </w:rPr>
              <w:t>0</w:t>
            </w:r>
            <w:r w:rsidR="006741D6">
              <w:rPr>
                <w:rFonts w:ascii="Arial" w:hAnsi="Arial" w:cs="Arial"/>
                <w:sz w:val="20"/>
                <w:szCs w:val="20"/>
              </w:rPr>
              <w:t>% complete</w:t>
            </w:r>
            <w:r>
              <w:rPr>
                <w:rFonts w:ascii="Arial" w:hAnsi="Arial" w:cs="Arial"/>
                <w:sz w:val="20"/>
                <w:szCs w:val="20"/>
              </w:rPr>
              <w:t>.</w:t>
            </w:r>
            <w:r w:rsidR="006741D6">
              <w:rPr>
                <w:rFonts w:ascii="Arial" w:hAnsi="Arial" w:cs="Arial"/>
                <w:sz w:val="20"/>
                <w:szCs w:val="20"/>
              </w:rPr>
              <w:t xml:space="preserve"> Numerical </w:t>
            </w:r>
          </w:p>
          <w:p w:rsidR="00CF2C42" w:rsidRDefault="006741D6" w:rsidP="00C33692">
            <w:pPr>
              <w:spacing w:after="0" w:line="240" w:lineRule="auto"/>
              <w:ind w:right="-720"/>
              <w:rPr>
                <w:rFonts w:ascii="Arial" w:hAnsi="Arial" w:cs="Arial"/>
                <w:sz w:val="20"/>
                <w:szCs w:val="20"/>
              </w:rPr>
            </w:pPr>
            <w:r>
              <w:rPr>
                <w:rFonts w:ascii="Arial" w:hAnsi="Arial" w:cs="Arial"/>
                <w:sz w:val="20"/>
                <w:szCs w:val="20"/>
              </w:rPr>
              <w:t>Simulation (NS)</w:t>
            </w:r>
            <w:r w:rsidR="00865184">
              <w:rPr>
                <w:rFonts w:ascii="Arial" w:hAnsi="Arial" w:cs="Arial"/>
                <w:sz w:val="20"/>
                <w:szCs w:val="20"/>
              </w:rPr>
              <w:t xml:space="preserve"> Portion </w:t>
            </w:r>
            <w:r>
              <w:rPr>
                <w:rFonts w:ascii="Arial" w:hAnsi="Arial" w:cs="Arial"/>
                <w:sz w:val="20"/>
                <w:szCs w:val="20"/>
              </w:rPr>
              <w:t>~</w:t>
            </w:r>
            <w:r w:rsidR="00133AE9">
              <w:rPr>
                <w:rFonts w:ascii="Arial" w:hAnsi="Arial" w:cs="Arial"/>
                <w:sz w:val="20"/>
                <w:szCs w:val="20"/>
              </w:rPr>
              <w:t>100</w:t>
            </w:r>
            <w:r>
              <w:rPr>
                <w:rFonts w:ascii="Arial" w:hAnsi="Arial" w:cs="Arial"/>
                <w:sz w:val="20"/>
                <w:szCs w:val="20"/>
              </w:rPr>
              <w:t>% complete</w:t>
            </w:r>
            <w:r w:rsidR="00865184">
              <w:rPr>
                <w:rFonts w:ascii="Arial" w:hAnsi="Arial" w:cs="Arial"/>
                <w:sz w:val="20"/>
                <w:szCs w:val="20"/>
              </w:rPr>
              <w:t>.</w:t>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133AE9">
              <w:rPr>
                <w:rFonts w:ascii="Arial" w:hAnsi="Arial" w:cs="Arial"/>
                <w:sz w:val="20"/>
                <w:szCs w:val="20"/>
              </w:rPr>
              <w:t>67</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C070D8">
              <w:rPr>
                <w:rFonts w:ascii="Arial" w:hAnsi="Arial" w:cs="Arial"/>
                <w:sz w:val="20"/>
                <w:szCs w:val="20"/>
              </w:rPr>
              <w:t>67</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C070D8">
              <w:rPr>
                <w:rFonts w:ascii="Arial" w:hAnsi="Arial" w:cs="Arial"/>
                <w:sz w:val="20"/>
                <w:szCs w:val="20"/>
              </w:rPr>
              <w:t>67</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3A2C9E" w:rsidRDefault="003A2C9E" w:rsidP="00C33692">
            <w:pPr>
              <w:spacing w:after="0" w:line="240" w:lineRule="auto"/>
              <w:ind w:right="-720"/>
              <w:rPr>
                <w:rFonts w:ascii="Arial" w:hAnsi="Arial" w:cs="Arial"/>
                <w:sz w:val="20"/>
                <w:szCs w:val="20"/>
              </w:rPr>
            </w:pPr>
          </w:p>
          <w:p w:rsidR="00E56FC6" w:rsidRDefault="00E56FC6" w:rsidP="00C33692">
            <w:pPr>
              <w:spacing w:after="0" w:line="240" w:lineRule="auto"/>
              <w:ind w:right="-720"/>
              <w:rPr>
                <w:rFonts w:ascii="Arial" w:hAnsi="Arial" w:cs="Arial"/>
                <w:sz w:val="20"/>
                <w:szCs w:val="20"/>
              </w:rPr>
            </w:pPr>
          </w:p>
          <w:p w:rsidR="00E56FC6" w:rsidRDefault="00E56FC6" w:rsidP="00C33692">
            <w:pPr>
              <w:spacing w:after="0" w:line="240" w:lineRule="auto"/>
              <w:ind w:right="-720"/>
              <w:rPr>
                <w:rFonts w:ascii="Arial" w:hAnsi="Arial" w:cs="Arial"/>
                <w:sz w:val="20"/>
                <w:szCs w:val="20"/>
              </w:rPr>
            </w:pPr>
          </w:p>
          <w:p w:rsidR="00193797" w:rsidRPr="00193797" w:rsidRDefault="00193797" w:rsidP="000E58E3">
            <w:pPr>
              <w:rPr>
                <w:rFonts w:ascii="Arial" w:hAnsi="Arial" w:cs="Arial"/>
                <w:u w:val="single"/>
              </w:rPr>
            </w:pPr>
            <w:r w:rsidRPr="00193797">
              <w:rPr>
                <w:rFonts w:ascii="Arial" w:hAnsi="Arial" w:cs="Arial"/>
                <w:u w:val="single"/>
              </w:rPr>
              <w:t>Project Within Budget:</w:t>
            </w:r>
          </w:p>
          <w:p w:rsidR="00193797" w:rsidRDefault="00193797" w:rsidP="000E58E3">
            <w:pPr>
              <w:rPr>
                <w:rFonts w:ascii="Arial" w:hAnsi="Arial" w:cs="Arial"/>
              </w:rPr>
            </w:pPr>
            <w:r>
              <w:rPr>
                <w:rFonts w:ascii="Arial" w:hAnsi="Arial" w:cs="Arial"/>
              </w:rPr>
              <w:t>Project expenditures to date- $</w:t>
            </w:r>
            <w:r w:rsidR="00C1239C">
              <w:rPr>
                <w:rFonts w:ascii="Arial" w:hAnsi="Arial" w:cs="Arial"/>
              </w:rPr>
              <w:t>2</w:t>
            </w:r>
            <w:r w:rsidR="00133AE9">
              <w:rPr>
                <w:rFonts w:ascii="Arial" w:hAnsi="Arial" w:cs="Arial"/>
              </w:rPr>
              <w:t>65</w:t>
            </w:r>
            <w:r>
              <w:rPr>
                <w:rFonts w:ascii="Arial" w:hAnsi="Arial" w:cs="Arial"/>
              </w:rPr>
              <w:t>,</w:t>
            </w:r>
            <w:r w:rsidR="00133AE9">
              <w:rPr>
                <w:rFonts w:ascii="Arial" w:hAnsi="Arial" w:cs="Arial"/>
              </w:rPr>
              <w:t>284</w:t>
            </w:r>
            <w:r>
              <w:rPr>
                <w:rFonts w:ascii="Arial" w:hAnsi="Arial" w:cs="Arial"/>
              </w:rPr>
              <w:t>.</w:t>
            </w:r>
          </w:p>
          <w:p w:rsidR="00C1239C" w:rsidRDefault="00C1239C" w:rsidP="00C33692">
            <w:pPr>
              <w:spacing w:after="0" w:line="240" w:lineRule="auto"/>
              <w:ind w:right="-720"/>
              <w:rPr>
                <w:rFonts w:ascii="Arial" w:hAnsi="Arial" w:cs="Arial"/>
                <w:sz w:val="20"/>
                <w:szCs w:val="20"/>
              </w:rPr>
            </w:pPr>
            <w:r>
              <w:rPr>
                <w:rFonts w:ascii="Arial" w:hAnsi="Arial" w:cs="Arial"/>
                <w:sz w:val="20"/>
                <w:szCs w:val="20"/>
              </w:rPr>
              <w:t xml:space="preserve">A </w:t>
            </w:r>
            <w:r w:rsidR="00904AC1">
              <w:rPr>
                <w:rFonts w:ascii="Arial" w:hAnsi="Arial" w:cs="Arial"/>
                <w:sz w:val="20"/>
                <w:szCs w:val="20"/>
              </w:rPr>
              <w:t xml:space="preserve">TAC </w:t>
            </w:r>
            <w:r>
              <w:rPr>
                <w:rFonts w:ascii="Arial" w:hAnsi="Arial" w:cs="Arial"/>
                <w:sz w:val="20"/>
                <w:szCs w:val="20"/>
              </w:rPr>
              <w:t xml:space="preserve">Summer </w:t>
            </w:r>
            <w:r w:rsidR="0053063F">
              <w:rPr>
                <w:rFonts w:ascii="Arial" w:hAnsi="Arial" w:cs="Arial"/>
                <w:sz w:val="20"/>
                <w:szCs w:val="20"/>
              </w:rPr>
              <w:t xml:space="preserve">Meeting </w:t>
            </w:r>
            <w:r w:rsidR="00062D79">
              <w:rPr>
                <w:rFonts w:ascii="Arial" w:hAnsi="Arial" w:cs="Arial"/>
                <w:sz w:val="20"/>
                <w:szCs w:val="20"/>
              </w:rPr>
              <w:t>was held on</w:t>
            </w:r>
            <w:r w:rsidR="0053063F">
              <w:rPr>
                <w:rFonts w:ascii="Arial" w:hAnsi="Arial" w:cs="Arial"/>
                <w:sz w:val="20"/>
                <w:szCs w:val="20"/>
              </w:rPr>
              <w:t xml:space="preserve"> </w:t>
            </w:r>
            <w:r>
              <w:rPr>
                <w:rFonts w:ascii="Arial" w:hAnsi="Arial" w:cs="Arial"/>
                <w:sz w:val="20"/>
                <w:szCs w:val="20"/>
              </w:rPr>
              <w:t>June 25</w:t>
            </w:r>
            <w:r w:rsidR="00E55DE2">
              <w:rPr>
                <w:rFonts w:ascii="Arial" w:hAnsi="Arial" w:cs="Arial"/>
                <w:sz w:val="20"/>
                <w:szCs w:val="20"/>
              </w:rPr>
              <w:t>, 2013</w:t>
            </w:r>
            <w:r w:rsidR="0053063F">
              <w:rPr>
                <w:rFonts w:ascii="Arial" w:hAnsi="Arial" w:cs="Arial"/>
                <w:sz w:val="20"/>
                <w:szCs w:val="20"/>
              </w:rPr>
              <w:t>.  Th</w:t>
            </w:r>
            <w:r w:rsidR="00062D79">
              <w:rPr>
                <w:rFonts w:ascii="Arial" w:hAnsi="Arial" w:cs="Arial"/>
                <w:sz w:val="20"/>
                <w:szCs w:val="20"/>
              </w:rPr>
              <w:t xml:space="preserve">is meeting was </w:t>
            </w:r>
            <w:r>
              <w:rPr>
                <w:rFonts w:ascii="Arial" w:hAnsi="Arial" w:cs="Arial"/>
                <w:sz w:val="20"/>
                <w:szCs w:val="20"/>
              </w:rPr>
              <w:t xml:space="preserve">followed by a field site visit </w:t>
            </w:r>
            <w:r w:rsidR="00E56FC6">
              <w:rPr>
                <w:rFonts w:ascii="Arial" w:hAnsi="Arial" w:cs="Arial"/>
                <w:sz w:val="20"/>
                <w:szCs w:val="20"/>
              </w:rPr>
              <w:t xml:space="preserve">on June 26, 2013 </w:t>
            </w:r>
            <w:r>
              <w:rPr>
                <w:rFonts w:ascii="Arial" w:hAnsi="Arial" w:cs="Arial"/>
                <w:sz w:val="20"/>
                <w:szCs w:val="20"/>
              </w:rPr>
              <w:t xml:space="preserve">to Stress Con </w:t>
            </w:r>
            <w:r>
              <w:rPr>
                <w:rFonts w:ascii="Arial" w:hAnsi="Arial" w:cs="Arial"/>
                <w:sz w:val="20"/>
                <w:szCs w:val="20"/>
              </w:rPr>
              <w:lastRenderedPageBreak/>
              <w:t>Industry/Fabrication Facility in Kalamazoo.</w:t>
            </w:r>
          </w:p>
          <w:p w:rsidR="00C1239C" w:rsidRDefault="00C1239C" w:rsidP="00C33692">
            <w:pPr>
              <w:spacing w:after="0" w:line="240" w:lineRule="auto"/>
              <w:ind w:right="-720"/>
              <w:rPr>
                <w:rFonts w:ascii="Arial" w:hAnsi="Arial" w:cs="Arial"/>
                <w:sz w:val="20"/>
                <w:szCs w:val="20"/>
              </w:rPr>
            </w:pPr>
          </w:p>
          <w:p w:rsidR="004859B0" w:rsidRDefault="00C1239C" w:rsidP="00C33692">
            <w:pPr>
              <w:spacing w:after="0" w:line="240" w:lineRule="auto"/>
              <w:ind w:right="-720"/>
              <w:rPr>
                <w:rFonts w:ascii="Arial" w:hAnsi="Arial" w:cs="Arial"/>
                <w:sz w:val="20"/>
                <w:szCs w:val="20"/>
              </w:rPr>
            </w:pPr>
            <w:r>
              <w:rPr>
                <w:rFonts w:ascii="Arial" w:hAnsi="Arial" w:cs="Arial"/>
                <w:sz w:val="20"/>
                <w:szCs w:val="20"/>
              </w:rPr>
              <w:t>At the TAC meeting the principal investi</w:t>
            </w:r>
            <w:r w:rsidR="00F53847">
              <w:rPr>
                <w:rFonts w:ascii="Arial" w:hAnsi="Arial" w:cs="Arial"/>
                <w:sz w:val="20"/>
                <w:szCs w:val="20"/>
              </w:rPr>
              <w:t>gator</w:t>
            </w:r>
            <w:r w:rsidR="008B781F">
              <w:rPr>
                <w:rFonts w:ascii="Arial" w:hAnsi="Arial" w:cs="Arial"/>
                <w:sz w:val="20"/>
                <w:szCs w:val="20"/>
              </w:rPr>
              <w:t xml:space="preserve"> provided a high level summary of work progress to date. At the Stress Con facility TAC members witnessed stressing of box beam CFCC strands for the M102 project in Michigan.</w:t>
            </w:r>
          </w:p>
          <w:p w:rsidR="00133AE9" w:rsidRDefault="00133AE9" w:rsidP="00C33692">
            <w:pPr>
              <w:spacing w:after="0" w:line="240" w:lineRule="auto"/>
              <w:ind w:right="-720"/>
              <w:rPr>
                <w:rFonts w:ascii="Arial" w:hAnsi="Arial" w:cs="Arial"/>
                <w:sz w:val="20"/>
                <w:szCs w:val="20"/>
              </w:rPr>
            </w:pPr>
          </w:p>
          <w:p w:rsidR="00133AE9" w:rsidRPr="00C1239C" w:rsidRDefault="00133AE9" w:rsidP="00C33692">
            <w:pPr>
              <w:spacing w:after="0" w:line="240" w:lineRule="auto"/>
              <w:ind w:right="-720"/>
              <w:rPr>
                <w:rFonts w:ascii="Arial" w:hAnsi="Arial" w:cs="Arial"/>
                <w:i/>
                <w:sz w:val="20"/>
                <w:szCs w:val="20"/>
              </w:rPr>
            </w:pPr>
            <w:r>
              <w:rPr>
                <w:rFonts w:ascii="Arial" w:hAnsi="Arial" w:cs="Arial"/>
                <w:sz w:val="20"/>
                <w:szCs w:val="20"/>
              </w:rPr>
              <w:t xml:space="preserve">Fall of 2013 (September) the both PI and Dave Juntunen (MDOT Co-PM) traveled to Iowa DOT </w:t>
            </w:r>
            <w:proofErr w:type="spellStart"/>
            <w:r>
              <w:rPr>
                <w:rFonts w:ascii="Arial" w:hAnsi="Arial" w:cs="Arial"/>
                <w:sz w:val="20"/>
                <w:szCs w:val="20"/>
              </w:rPr>
              <w:t>t</w:t>
            </w:r>
            <w:proofErr w:type="spellEnd"/>
            <w:r>
              <w:rPr>
                <w:rFonts w:ascii="Arial" w:hAnsi="Arial" w:cs="Arial"/>
                <w:sz w:val="20"/>
                <w:szCs w:val="20"/>
              </w:rPr>
              <w:t xml:space="preserve"> make presentation of project progress to leadership board.</w:t>
            </w:r>
          </w:p>
          <w:p w:rsidR="004859B0" w:rsidRPr="00C33692" w:rsidRDefault="004859B0" w:rsidP="00C33692">
            <w:pPr>
              <w:spacing w:after="0" w:line="240" w:lineRule="auto"/>
              <w:ind w:right="-720"/>
              <w:rPr>
                <w:rFonts w:ascii="Arial" w:hAnsi="Arial" w:cs="Arial"/>
                <w:sz w:val="20"/>
                <w:szCs w:val="20"/>
              </w:rPr>
            </w:pPr>
          </w:p>
        </w:tc>
      </w:tr>
      <w:tr w:rsidR="00F33638" w:rsidRPr="00C33692" w:rsidTr="001D12D2">
        <w:trPr>
          <w:trHeight w:val="2330"/>
        </w:trPr>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sz w:val="20"/>
                <w:szCs w:val="20"/>
              </w:rPr>
            </w:pPr>
            <w:r w:rsidRPr="00C33692">
              <w:rPr>
                <w:rFonts w:ascii="Arial" w:hAnsi="Arial" w:cs="Arial"/>
                <w:b/>
                <w:sz w:val="20"/>
                <w:szCs w:val="20"/>
              </w:rPr>
              <w:t>Anticipated work next quarter</w:t>
            </w:r>
            <w:r w:rsidRPr="00C33692">
              <w:rPr>
                <w:rFonts w:ascii="Arial" w:hAnsi="Arial" w:cs="Arial"/>
                <w:sz w:val="20"/>
                <w:szCs w:val="20"/>
              </w:rPr>
              <w:t>:</w:t>
            </w:r>
          </w:p>
          <w:p w:rsidR="00F33638" w:rsidRPr="00C33692" w:rsidRDefault="00133AE9" w:rsidP="00133AE9">
            <w:pPr>
              <w:spacing w:after="0" w:line="240" w:lineRule="auto"/>
              <w:ind w:right="-720"/>
              <w:rPr>
                <w:rFonts w:ascii="Arial" w:hAnsi="Arial" w:cs="Arial"/>
                <w:sz w:val="20"/>
                <w:szCs w:val="20"/>
              </w:rPr>
            </w:pPr>
            <w:r>
              <w:rPr>
                <w:rFonts w:ascii="Arial" w:hAnsi="Arial" w:cs="Arial"/>
                <w:sz w:val="20"/>
                <w:szCs w:val="20"/>
              </w:rPr>
              <w:t xml:space="preserve">Complete </w:t>
            </w:r>
            <w:r w:rsidR="00A96CB6">
              <w:rPr>
                <w:rFonts w:ascii="Arial" w:hAnsi="Arial" w:cs="Arial"/>
                <w:sz w:val="20"/>
                <w:szCs w:val="20"/>
              </w:rPr>
              <w:t>load distribution test.</w:t>
            </w: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F33638" w:rsidRPr="00C33692" w:rsidRDefault="00F33638" w:rsidP="00C33692">
            <w:pPr>
              <w:spacing w:after="0" w:line="240" w:lineRule="auto"/>
              <w:ind w:right="-720"/>
              <w:rPr>
                <w:rFonts w:ascii="Arial" w:hAnsi="Arial" w:cs="Arial"/>
                <w:b/>
                <w:sz w:val="20"/>
                <w:szCs w:val="20"/>
              </w:rPr>
            </w:pPr>
          </w:p>
          <w:p w:rsidR="00F33638" w:rsidRDefault="00133AE9" w:rsidP="00133AE9">
            <w:pPr>
              <w:spacing w:after="0" w:line="240" w:lineRule="auto"/>
              <w:ind w:right="-720"/>
              <w:rPr>
                <w:rFonts w:ascii="Arial" w:hAnsi="Arial" w:cs="Arial"/>
                <w:b/>
                <w:sz w:val="20"/>
                <w:szCs w:val="20"/>
              </w:rPr>
            </w:pPr>
            <w:r>
              <w:rPr>
                <w:rFonts w:ascii="Arial" w:hAnsi="Arial" w:cs="Arial"/>
                <w:b/>
                <w:sz w:val="20"/>
                <w:szCs w:val="20"/>
              </w:rPr>
              <w:t>Complete Theoretical Analysis and Experimental Program.</w:t>
            </w:r>
          </w:p>
          <w:p w:rsidR="00133AE9" w:rsidRDefault="00133AE9" w:rsidP="00133AE9">
            <w:pPr>
              <w:spacing w:after="0" w:line="240" w:lineRule="auto"/>
              <w:ind w:right="-720"/>
              <w:rPr>
                <w:rFonts w:ascii="Arial" w:hAnsi="Arial" w:cs="Arial"/>
                <w:b/>
                <w:sz w:val="20"/>
                <w:szCs w:val="20"/>
              </w:rPr>
            </w:pPr>
          </w:p>
          <w:p w:rsidR="00133AE9" w:rsidRDefault="00133AE9" w:rsidP="00133AE9">
            <w:pPr>
              <w:spacing w:after="0" w:line="240" w:lineRule="auto"/>
              <w:ind w:right="-720"/>
              <w:rPr>
                <w:rFonts w:ascii="Arial" w:hAnsi="Arial" w:cs="Arial"/>
                <w:b/>
                <w:sz w:val="20"/>
                <w:szCs w:val="20"/>
              </w:rPr>
            </w:pPr>
            <w:r>
              <w:rPr>
                <w:rFonts w:ascii="Arial" w:hAnsi="Arial" w:cs="Arial"/>
                <w:b/>
                <w:sz w:val="20"/>
                <w:szCs w:val="20"/>
              </w:rPr>
              <w:t>Complete construction of the bridge model.</w:t>
            </w:r>
          </w:p>
          <w:p w:rsidR="00133AE9" w:rsidRDefault="00133AE9" w:rsidP="00133AE9">
            <w:pPr>
              <w:spacing w:after="0" w:line="240" w:lineRule="auto"/>
              <w:ind w:right="-720"/>
              <w:rPr>
                <w:rFonts w:ascii="Arial" w:hAnsi="Arial" w:cs="Arial"/>
                <w:b/>
                <w:sz w:val="20"/>
                <w:szCs w:val="20"/>
              </w:rPr>
            </w:pPr>
          </w:p>
          <w:p w:rsidR="00133AE9" w:rsidRPr="00C33692" w:rsidRDefault="00133AE9" w:rsidP="00133AE9">
            <w:pPr>
              <w:spacing w:after="0" w:line="240" w:lineRule="auto"/>
              <w:ind w:right="-720"/>
              <w:rPr>
                <w:rFonts w:ascii="Arial" w:hAnsi="Arial" w:cs="Arial"/>
                <w:b/>
                <w:sz w:val="20"/>
                <w:szCs w:val="20"/>
              </w:rPr>
            </w:pPr>
            <w:r>
              <w:rPr>
                <w:rFonts w:ascii="Arial" w:hAnsi="Arial" w:cs="Arial"/>
                <w:b/>
                <w:sz w:val="20"/>
                <w:szCs w:val="20"/>
              </w:rPr>
              <w:t>Next- Complete load distribution testing and perform an ultimate load test on ½ scale bridge model.</w:t>
            </w: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Circumstance affecting project or budget.  (Please describe any challenges encountered or anticipated that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might affect the completion of the project within the time, scope and fiscal constraints set forth in the </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agreement</w:t>
            </w:r>
            <w:proofErr w:type="gramEnd"/>
            <w:r w:rsidRPr="00C33692">
              <w:rPr>
                <w:rFonts w:ascii="Arial" w:hAnsi="Arial" w:cs="Arial"/>
                <w:b/>
                <w:sz w:val="20"/>
                <w:szCs w:val="20"/>
              </w:rPr>
              <w:t>, along with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90F" w:rsidRDefault="00CD790F" w:rsidP="00106C83">
      <w:pPr>
        <w:spacing w:after="0" w:line="240" w:lineRule="auto"/>
      </w:pPr>
      <w:r>
        <w:separator/>
      </w:r>
    </w:p>
  </w:endnote>
  <w:endnote w:type="continuationSeparator" w:id="0">
    <w:p w:rsidR="00CD790F" w:rsidRDefault="00CD790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90F" w:rsidRDefault="00CD790F" w:rsidP="00106C83">
      <w:pPr>
        <w:spacing w:after="0" w:line="240" w:lineRule="auto"/>
      </w:pPr>
      <w:r>
        <w:separator/>
      </w:r>
    </w:p>
  </w:footnote>
  <w:footnote w:type="continuationSeparator" w:id="0">
    <w:p w:rsidR="00CD790F" w:rsidRDefault="00CD790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0AA"/>
    <w:rsid w:val="00037FBC"/>
    <w:rsid w:val="00044771"/>
    <w:rsid w:val="00056661"/>
    <w:rsid w:val="0006292A"/>
    <w:rsid w:val="00062D79"/>
    <w:rsid w:val="000736BB"/>
    <w:rsid w:val="00095435"/>
    <w:rsid w:val="000B665A"/>
    <w:rsid w:val="000E3109"/>
    <w:rsid w:val="000E58E3"/>
    <w:rsid w:val="00106C83"/>
    <w:rsid w:val="001113BC"/>
    <w:rsid w:val="0011577D"/>
    <w:rsid w:val="00133AE9"/>
    <w:rsid w:val="001350DE"/>
    <w:rsid w:val="00135C84"/>
    <w:rsid w:val="00140EE4"/>
    <w:rsid w:val="0014227F"/>
    <w:rsid w:val="001547D0"/>
    <w:rsid w:val="001563C7"/>
    <w:rsid w:val="00161153"/>
    <w:rsid w:val="001908C9"/>
    <w:rsid w:val="00193797"/>
    <w:rsid w:val="001A02A6"/>
    <w:rsid w:val="001A1EF5"/>
    <w:rsid w:val="001A6F7C"/>
    <w:rsid w:val="001D12D2"/>
    <w:rsid w:val="00202D39"/>
    <w:rsid w:val="0021446D"/>
    <w:rsid w:val="00256B51"/>
    <w:rsid w:val="00264191"/>
    <w:rsid w:val="0027762D"/>
    <w:rsid w:val="00280475"/>
    <w:rsid w:val="00293FD8"/>
    <w:rsid w:val="002A79C8"/>
    <w:rsid w:val="002F3749"/>
    <w:rsid w:val="003514AA"/>
    <w:rsid w:val="003608FD"/>
    <w:rsid w:val="00374A67"/>
    <w:rsid w:val="0038705A"/>
    <w:rsid w:val="00392304"/>
    <w:rsid w:val="003A2C9E"/>
    <w:rsid w:val="003D31AC"/>
    <w:rsid w:val="003E40D5"/>
    <w:rsid w:val="003E5F56"/>
    <w:rsid w:val="004031B6"/>
    <w:rsid w:val="004129CA"/>
    <w:rsid w:val="004144E6"/>
    <w:rsid w:val="004156B2"/>
    <w:rsid w:val="00426858"/>
    <w:rsid w:val="004327D3"/>
    <w:rsid w:val="00434DD4"/>
    <w:rsid w:val="00436826"/>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53E7"/>
    <w:rsid w:val="005E37FE"/>
    <w:rsid w:val="005E49CD"/>
    <w:rsid w:val="005E5D2B"/>
    <w:rsid w:val="00601EBD"/>
    <w:rsid w:val="006741D6"/>
    <w:rsid w:val="00682C5E"/>
    <w:rsid w:val="00685AA3"/>
    <w:rsid w:val="00690D32"/>
    <w:rsid w:val="006A2231"/>
    <w:rsid w:val="006A3438"/>
    <w:rsid w:val="006F58CC"/>
    <w:rsid w:val="00717A5B"/>
    <w:rsid w:val="00743C01"/>
    <w:rsid w:val="00790C4A"/>
    <w:rsid w:val="007954B0"/>
    <w:rsid w:val="007B23E2"/>
    <w:rsid w:val="007C14D8"/>
    <w:rsid w:val="007E5BD2"/>
    <w:rsid w:val="007F309C"/>
    <w:rsid w:val="008151AF"/>
    <w:rsid w:val="00817398"/>
    <w:rsid w:val="00842798"/>
    <w:rsid w:val="00865184"/>
    <w:rsid w:val="00872F18"/>
    <w:rsid w:val="00874EF7"/>
    <w:rsid w:val="0089444E"/>
    <w:rsid w:val="00896D96"/>
    <w:rsid w:val="008A781D"/>
    <w:rsid w:val="008B16B6"/>
    <w:rsid w:val="008B781F"/>
    <w:rsid w:val="008C78EB"/>
    <w:rsid w:val="008E1E36"/>
    <w:rsid w:val="008E4CF3"/>
    <w:rsid w:val="008F6F19"/>
    <w:rsid w:val="00904AC1"/>
    <w:rsid w:val="00905DAC"/>
    <w:rsid w:val="009464A2"/>
    <w:rsid w:val="0095252D"/>
    <w:rsid w:val="00953FAC"/>
    <w:rsid w:val="00963167"/>
    <w:rsid w:val="009840FE"/>
    <w:rsid w:val="009C5C0A"/>
    <w:rsid w:val="009E6D8A"/>
    <w:rsid w:val="00A1299F"/>
    <w:rsid w:val="00A43875"/>
    <w:rsid w:val="00A46F4F"/>
    <w:rsid w:val="00A576AD"/>
    <w:rsid w:val="00A63677"/>
    <w:rsid w:val="00A63C0E"/>
    <w:rsid w:val="00A731D1"/>
    <w:rsid w:val="00A96CB6"/>
    <w:rsid w:val="00AA761A"/>
    <w:rsid w:val="00AC44E6"/>
    <w:rsid w:val="00AC52AE"/>
    <w:rsid w:val="00AD48E4"/>
    <w:rsid w:val="00AD74FD"/>
    <w:rsid w:val="00AE46B0"/>
    <w:rsid w:val="00AF6CA1"/>
    <w:rsid w:val="00B2185C"/>
    <w:rsid w:val="00B32E78"/>
    <w:rsid w:val="00B358DC"/>
    <w:rsid w:val="00B66A21"/>
    <w:rsid w:val="00B7064E"/>
    <w:rsid w:val="00BA4A97"/>
    <w:rsid w:val="00BB242F"/>
    <w:rsid w:val="00BE3084"/>
    <w:rsid w:val="00C00589"/>
    <w:rsid w:val="00C070D8"/>
    <w:rsid w:val="00C1239C"/>
    <w:rsid w:val="00C13753"/>
    <w:rsid w:val="00C222AF"/>
    <w:rsid w:val="00C32094"/>
    <w:rsid w:val="00C32765"/>
    <w:rsid w:val="00C33692"/>
    <w:rsid w:val="00C51C38"/>
    <w:rsid w:val="00C57200"/>
    <w:rsid w:val="00C6407D"/>
    <w:rsid w:val="00C855F2"/>
    <w:rsid w:val="00C91275"/>
    <w:rsid w:val="00CA574F"/>
    <w:rsid w:val="00CD28FA"/>
    <w:rsid w:val="00CD790F"/>
    <w:rsid w:val="00CE4CE1"/>
    <w:rsid w:val="00CF2C42"/>
    <w:rsid w:val="00CF36A9"/>
    <w:rsid w:val="00CF75CB"/>
    <w:rsid w:val="00D23F43"/>
    <w:rsid w:val="00D24B2A"/>
    <w:rsid w:val="00D42A15"/>
    <w:rsid w:val="00D7345C"/>
    <w:rsid w:val="00D7584B"/>
    <w:rsid w:val="00DA78A7"/>
    <w:rsid w:val="00DB1026"/>
    <w:rsid w:val="00DB7736"/>
    <w:rsid w:val="00DC166B"/>
    <w:rsid w:val="00DD33CA"/>
    <w:rsid w:val="00DE57C3"/>
    <w:rsid w:val="00DE71EB"/>
    <w:rsid w:val="00E005DA"/>
    <w:rsid w:val="00E04766"/>
    <w:rsid w:val="00E262F2"/>
    <w:rsid w:val="00E35E0F"/>
    <w:rsid w:val="00E371D1"/>
    <w:rsid w:val="00E51F32"/>
    <w:rsid w:val="00E53738"/>
    <w:rsid w:val="00E55DE2"/>
    <w:rsid w:val="00E56FC6"/>
    <w:rsid w:val="00E80DBA"/>
    <w:rsid w:val="00ED5F67"/>
    <w:rsid w:val="00EE2221"/>
    <w:rsid w:val="00EE5D85"/>
    <w:rsid w:val="00EF08AE"/>
    <w:rsid w:val="00EF5790"/>
    <w:rsid w:val="00F03A7E"/>
    <w:rsid w:val="00F03CBB"/>
    <w:rsid w:val="00F0712E"/>
    <w:rsid w:val="00F3326B"/>
    <w:rsid w:val="00F33638"/>
    <w:rsid w:val="00F44B6B"/>
    <w:rsid w:val="00F53847"/>
    <w:rsid w:val="00F60584"/>
    <w:rsid w:val="00F619C6"/>
    <w:rsid w:val="00F6207A"/>
    <w:rsid w:val="00F77DF7"/>
    <w:rsid w:val="00FA3B0A"/>
    <w:rsid w:val="00FA4A12"/>
    <w:rsid w:val="00FB60FB"/>
    <w:rsid w:val="00FC132F"/>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Clover, Andre D. (MDOT)</cp:lastModifiedBy>
  <cp:revision>2</cp:revision>
  <cp:lastPrinted>2012-08-02T16:05:00Z</cp:lastPrinted>
  <dcterms:created xsi:type="dcterms:W3CDTF">2013-11-14T22:30:00Z</dcterms:created>
  <dcterms:modified xsi:type="dcterms:W3CDTF">2013-11-14T22:30:00Z</dcterms:modified>
</cp:coreProperties>
</file>