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1" w:rsidRPr="00497F2F" w:rsidRDefault="007126B1" w:rsidP="007126B1">
      <w:pPr>
        <w:rPr>
          <w:rFonts w:asciiTheme="majorHAnsi" w:hAnsiTheme="majorHAnsi"/>
          <w:b/>
          <w:i/>
        </w:rPr>
      </w:pPr>
      <w:proofErr w:type="spellStart"/>
      <w:r w:rsidRPr="00497F2F">
        <w:rPr>
          <w:rFonts w:asciiTheme="majorHAnsi" w:hAnsiTheme="majorHAnsi"/>
        </w:rPr>
        <w:t>MnDOT</w:t>
      </w:r>
      <w:proofErr w:type="spellEnd"/>
      <w:r w:rsidRPr="00497F2F">
        <w:rPr>
          <w:rFonts w:asciiTheme="majorHAnsi" w:hAnsiTheme="majorHAnsi"/>
        </w:rPr>
        <w:t xml:space="preserve"> 99007 – </w:t>
      </w:r>
      <w:r w:rsidRPr="00497F2F">
        <w:rPr>
          <w:rFonts w:asciiTheme="majorHAnsi" w:hAnsiTheme="majorHAnsi"/>
          <w:b/>
          <w:i/>
        </w:rPr>
        <w:t>Evaluation of Guide Sign Fonts</w:t>
      </w:r>
    </w:p>
    <w:p w:rsidR="007126B1" w:rsidRPr="00497F2F" w:rsidRDefault="002D6AAF" w:rsidP="007126B1">
      <w:pPr>
        <w:rPr>
          <w:rFonts w:asciiTheme="majorHAnsi" w:hAnsiTheme="majorHAnsi"/>
        </w:rPr>
      </w:pPr>
      <w:r>
        <w:rPr>
          <w:rFonts w:asciiTheme="majorHAnsi" w:hAnsiTheme="majorHAnsi"/>
        </w:rPr>
        <w:t>04/09</w:t>
      </w:r>
      <w:r w:rsidR="007126B1" w:rsidRPr="00497F2F">
        <w:rPr>
          <w:rFonts w:asciiTheme="majorHAnsi" w:hAnsiTheme="majorHAnsi"/>
        </w:rPr>
        <w:t>/2013</w:t>
      </w:r>
    </w:p>
    <w:p w:rsidR="007126B1" w:rsidRPr="00497F2F" w:rsidRDefault="007126B1" w:rsidP="007126B1">
      <w:pPr>
        <w:rPr>
          <w:rFonts w:asciiTheme="majorHAnsi" w:hAnsiTheme="majorHAnsi"/>
        </w:rPr>
      </w:pPr>
      <w:r w:rsidRPr="00497F2F">
        <w:rPr>
          <w:rFonts w:asciiTheme="majorHAnsi" w:hAnsiTheme="majorHAnsi"/>
        </w:rPr>
        <w:tab/>
      </w:r>
    </w:p>
    <w:p w:rsidR="007126B1" w:rsidRPr="00497F2F" w:rsidRDefault="007126B1" w:rsidP="007126B1">
      <w:pPr>
        <w:jc w:val="center"/>
        <w:rPr>
          <w:rFonts w:asciiTheme="majorHAnsi" w:hAnsiTheme="majorHAnsi"/>
          <w:b/>
          <w:sz w:val="28"/>
          <w:szCs w:val="28"/>
        </w:rPr>
      </w:pPr>
      <w:r w:rsidRPr="00497F2F">
        <w:rPr>
          <w:rFonts w:asciiTheme="majorHAnsi" w:hAnsiTheme="majorHAnsi"/>
          <w:b/>
          <w:sz w:val="28"/>
          <w:szCs w:val="28"/>
        </w:rPr>
        <w:t>Project Status Update</w:t>
      </w:r>
    </w:p>
    <w:p w:rsidR="00EA34A5" w:rsidRDefault="00EA34A5" w:rsidP="00EA34A5">
      <w:pPr>
        <w:rPr>
          <w:rFonts w:asciiTheme="majorHAnsi" w:hAnsiTheme="majorHAnsi"/>
          <w:b/>
        </w:rPr>
      </w:pPr>
    </w:p>
    <w:p w:rsidR="00DE2C6A" w:rsidRDefault="00497F2F" w:rsidP="00EA34A5">
      <w:pPr>
        <w:rPr>
          <w:rFonts w:asciiTheme="majorHAnsi" w:hAnsiTheme="majorHAnsi"/>
          <w:b/>
        </w:rPr>
      </w:pPr>
      <w:bookmarkStart w:id="0" w:name="_GoBack"/>
      <w:bookmarkEnd w:id="0"/>
      <w:r w:rsidRPr="00497F2F">
        <w:rPr>
          <w:rFonts w:asciiTheme="majorHAnsi" w:hAnsiTheme="majorHAnsi"/>
          <w:b/>
        </w:rPr>
        <w:t>Task 3: Closed Course Testing</w:t>
      </w:r>
    </w:p>
    <w:p w:rsidR="00D35473" w:rsidRPr="00D35473" w:rsidRDefault="00D35473" w:rsidP="0036547E">
      <w:pPr>
        <w:spacing w:before="120"/>
        <w:rPr>
          <w:rFonts w:asciiTheme="majorHAnsi" w:hAnsiTheme="majorHAnsi"/>
        </w:rPr>
      </w:pPr>
      <w:r w:rsidRPr="00983E1F">
        <w:rPr>
          <w:rFonts w:asciiTheme="majorHAnsi" w:hAnsiTheme="majorHAnsi"/>
          <w:i/>
        </w:rPr>
        <w:t>NOTE:</w:t>
      </w:r>
      <w:r w:rsidRPr="00D35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We plan to combine our closed course testing with another ongoing TTI study in order to </w:t>
      </w:r>
      <w:r w:rsidR="00836FAB">
        <w:rPr>
          <w:rFonts w:asciiTheme="majorHAnsi" w:hAnsiTheme="majorHAnsi"/>
        </w:rPr>
        <w:t xml:space="preserve">capitalize on TTI assets.  The studies will be conducted </w:t>
      </w:r>
      <w:r w:rsidR="00A155E0">
        <w:rPr>
          <w:rFonts w:asciiTheme="majorHAnsi" w:hAnsiTheme="majorHAnsi"/>
        </w:rPr>
        <w:t xml:space="preserve">one immediately </w:t>
      </w:r>
      <w:r w:rsidR="005530A3">
        <w:rPr>
          <w:rFonts w:asciiTheme="majorHAnsi" w:hAnsiTheme="majorHAnsi"/>
        </w:rPr>
        <w:t xml:space="preserve">following the </w:t>
      </w:r>
      <w:r w:rsidR="00A155E0">
        <w:rPr>
          <w:rFonts w:asciiTheme="majorHAnsi" w:hAnsiTheme="majorHAnsi"/>
        </w:rPr>
        <w:t xml:space="preserve">other, but </w:t>
      </w:r>
      <w:r w:rsidR="003A0148">
        <w:rPr>
          <w:rFonts w:asciiTheme="majorHAnsi" w:hAnsiTheme="majorHAnsi"/>
        </w:rPr>
        <w:t xml:space="preserve">separately and </w:t>
      </w:r>
      <w:r w:rsidR="00836FAB">
        <w:rPr>
          <w:rFonts w:asciiTheme="majorHAnsi" w:hAnsiTheme="majorHAnsi"/>
        </w:rPr>
        <w:t>on different runways</w:t>
      </w:r>
      <w:r w:rsidR="005530A3">
        <w:rPr>
          <w:rFonts w:asciiTheme="majorHAnsi" w:hAnsiTheme="majorHAnsi"/>
        </w:rPr>
        <w:t xml:space="preserve"> so that one study run (</w:t>
      </w:r>
      <w:r w:rsidR="00966775">
        <w:rPr>
          <w:rFonts w:asciiTheme="majorHAnsi" w:hAnsiTheme="majorHAnsi"/>
        </w:rPr>
        <w:t xml:space="preserve">a study </w:t>
      </w:r>
      <w:r w:rsidR="005530A3">
        <w:rPr>
          <w:rFonts w:asciiTheme="majorHAnsi" w:hAnsiTheme="majorHAnsi"/>
        </w:rPr>
        <w:t>looking at driveway delineation) is completed prior to beginning the next study run (guide sign fonts)</w:t>
      </w:r>
      <w:r w:rsidR="00A155E0">
        <w:rPr>
          <w:rFonts w:asciiTheme="majorHAnsi" w:hAnsiTheme="majorHAnsi"/>
        </w:rPr>
        <w:t xml:space="preserve">. </w:t>
      </w:r>
      <w:r w:rsidR="00966775">
        <w:rPr>
          <w:rFonts w:asciiTheme="majorHAnsi" w:hAnsiTheme="majorHAnsi"/>
        </w:rPr>
        <w:t xml:space="preserve">The studies will in no way infringe on one another in either roadway signs/markings presented or instructions given. Combining the test runs </w:t>
      </w:r>
      <w:r w:rsidR="00966775" w:rsidRPr="00966775">
        <w:rPr>
          <w:rFonts w:asciiTheme="majorHAnsi" w:hAnsiTheme="majorHAnsi"/>
        </w:rPr>
        <w:t>will allow our study to be conducted a</w:t>
      </w:r>
      <w:r w:rsidR="00966775">
        <w:rPr>
          <w:rFonts w:asciiTheme="majorHAnsi" w:hAnsiTheme="majorHAnsi"/>
        </w:rPr>
        <w:t>t a reduced cost through shared</w:t>
      </w:r>
      <w:r w:rsidR="00966775" w:rsidRPr="00966775">
        <w:rPr>
          <w:rFonts w:asciiTheme="majorHAnsi" w:hAnsiTheme="majorHAnsi"/>
        </w:rPr>
        <w:t xml:space="preserve"> staffing, vehicle and other equipment costs, as well as participant compensation expenses.</w:t>
      </w:r>
    </w:p>
    <w:p w:rsidR="00497F2F" w:rsidRDefault="00497F2F" w:rsidP="007A5D68">
      <w:pPr>
        <w:spacing w:before="120"/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3A: Experimental Design</w:t>
      </w:r>
    </w:p>
    <w:p w:rsidR="008D7C84" w:rsidRPr="008D7C84" w:rsidRDefault="0023541B" w:rsidP="00DA0D97">
      <w:pPr>
        <w:pStyle w:val="ListParagraph"/>
        <w:numPr>
          <w:ilvl w:val="0"/>
          <w:numId w:val="5"/>
        </w:num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No changes</w:t>
      </w:r>
    </w:p>
    <w:p w:rsidR="00497F2F" w:rsidRDefault="00497F2F" w:rsidP="00497F2F">
      <w:pPr>
        <w:ind w:left="288"/>
        <w:rPr>
          <w:rFonts w:asciiTheme="majorHAnsi" w:hAnsiTheme="majorHAnsi"/>
        </w:rPr>
      </w:pPr>
    </w:p>
    <w:p w:rsidR="00497F2F" w:rsidRDefault="00497F2F" w:rsidP="00497F2F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3B: Equipment Setup</w:t>
      </w:r>
    </w:p>
    <w:p w:rsidR="0023541B" w:rsidRPr="00497F2F" w:rsidRDefault="0023541B" w:rsidP="00497F2F">
      <w:pPr>
        <w:ind w:left="288"/>
        <w:rPr>
          <w:rFonts w:asciiTheme="majorHAnsi" w:hAnsiTheme="majorHAnsi"/>
          <w:b/>
          <w:i/>
        </w:rPr>
      </w:pPr>
    </w:p>
    <w:p w:rsidR="00F264DF" w:rsidRDefault="00F264DF" w:rsidP="0023541B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Forklifts</w:t>
      </w:r>
    </w:p>
    <w:p w:rsidR="00F264DF" w:rsidRPr="00F264DF" w:rsidRDefault="0023541B" w:rsidP="00F264D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>We will be using 3 forklifts</w:t>
      </w:r>
      <w:r w:rsidR="00877CC8" w:rsidRPr="00F264DF">
        <w:rPr>
          <w:rFonts w:asciiTheme="majorHAnsi" w:hAnsiTheme="majorHAnsi"/>
        </w:rPr>
        <w:t xml:space="preserve"> to support the overhead guide signs</w:t>
      </w:r>
      <w:r w:rsidRPr="00F264DF">
        <w:rPr>
          <w:rFonts w:asciiTheme="majorHAnsi" w:hAnsiTheme="majorHAnsi"/>
        </w:rPr>
        <w:t xml:space="preserve"> rather than the original 2</w:t>
      </w:r>
      <w:r w:rsidR="00877CC8" w:rsidRPr="00F264DF">
        <w:rPr>
          <w:rFonts w:asciiTheme="majorHAnsi" w:hAnsiTheme="majorHAnsi"/>
        </w:rPr>
        <w:t xml:space="preserve"> that were planned. This will greatly simplify the logistics by allowing for 1 font to be used for each forklift, thus minimizing the chance of presentation errors.</w:t>
      </w:r>
      <w:r w:rsidR="00F264DF" w:rsidRPr="00F264DF">
        <w:t xml:space="preserve"> </w:t>
      </w:r>
    </w:p>
    <w:p w:rsidR="00497F2F" w:rsidRPr="00F264DF" w:rsidRDefault="00F264DF" w:rsidP="00F264D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 xml:space="preserve">Forklift operator training has been completed. A total of </w:t>
      </w:r>
      <w:r w:rsidR="005336B3">
        <w:rPr>
          <w:rFonts w:asciiTheme="majorHAnsi" w:hAnsiTheme="majorHAnsi"/>
        </w:rPr>
        <w:t>5</w:t>
      </w:r>
      <w:r w:rsidRPr="00F264DF">
        <w:rPr>
          <w:rFonts w:asciiTheme="majorHAnsi" w:hAnsiTheme="majorHAnsi"/>
        </w:rPr>
        <w:t xml:space="preserve"> </w:t>
      </w:r>
      <w:r w:rsidR="005336B3">
        <w:rPr>
          <w:rFonts w:asciiTheme="majorHAnsi" w:hAnsiTheme="majorHAnsi"/>
        </w:rPr>
        <w:t xml:space="preserve">TTI employees involved in this study have </w:t>
      </w:r>
      <w:r w:rsidRPr="00F264DF">
        <w:rPr>
          <w:rFonts w:asciiTheme="majorHAnsi" w:hAnsiTheme="majorHAnsi"/>
        </w:rPr>
        <w:t xml:space="preserve">received </w:t>
      </w:r>
      <w:r w:rsidR="005336B3">
        <w:rPr>
          <w:rFonts w:asciiTheme="majorHAnsi" w:hAnsiTheme="majorHAnsi"/>
        </w:rPr>
        <w:t xml:space="preserve">operator </w:t>
      </w:r>
      <w:r w:rsidRPr="00F264DF">
        <w:rPr>
          <w:rFonts w:asciiTheme="majorHAnsi" w:hAnsiTheme="majorHAnsi"/>
        </w:rPr>
        <w:t>certification.</w:t>
      </w:r>
    </w:p>
    <w:p w:rsidR="00877CC8" w:rsidRDefault="00877CC8" w:rsidP="00F264DF">
      <w:pPr>
        <w:pStyle w:val="ListParagraph"/>
        <w:ind w:left="288"/>
        <w:rPr>
          <w:rFonts w:asciiTheme="majorHAnsi" w:hAnsiTheme="majorHAnsi"/>
        </w:rPr>
      </w:pPr>
    </w:p>
    <w:p w:rsidR="00F264DF" w:rsidRDefault="00F264DF" w:rsidP="00F264D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Signs / Panels / Overlays</w:t>
      </w:r>
    </w:p>
    <w:p w:rsidR="00F264DF" w:rsidRDefault="00877CC8" w:rsidP="00F264D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 xml:space="preserve">We ordered an additional back panel (8 </w:t>
      </w:r>
      <w:proofErr w:type="spellStart"/>
      <w:r w:rsidRPr="00F264DF">
        <w:rPr>
          <w:rFonts w:asciiTheme="majorHAnsi" w:hAnsiTheme="majorHAnsi"/>
        </w:rPr>
        <w:t>ft</w:t>
      </w:r>
      <w:proofErr w:type="spellEnd"/>
      <w:r w:rsidRPr="00F264DF">
        <w:rPr>
          <w:rFonts w:asciiTheme="majorHAnsi" w:hAnsiTheme="majorHAnsi"/>
        </w:rPr>
        <w:t xml:space="preserve"> x 10 </w:t>
      </w:r>
      <w:proofErr w:type="spellStart"/>
      <w:r w:rsidRPr="00F264DF">
        <w:rPr>
          <w:rFonts w:asciiTheme="majorHAnsi" w:hAnsiTheme="majorHAnsi"/>
        </w:rPr>
        <w:t>ft</w:t>
      </w:r>
      <w:proofErr w:type="spellEnd"/>
      <w:r w:rsidRPr="00F264DF">
        <w:rPr>
          <w:rFonts w:asciiTheme="majorHAnsi" w:hAnsiTheme="majorHAnsi"/>
        </w:rPr>
        <w:t>) to accommodate the third forklift position.</w:t>
      </w:r>
    </w:p>
    <w:p w:rsidR="00877CC8" w:rsidRPr="00F264DF" w:rsidRDefault="00877CC8" w:rsidP="00F264D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>The following full-scale roadway test signs (panels and overlays) have been received:</w:t>
      </w:r>
    </w:p>
    <w:p w:rsidR="00877CC8" w:rsidRDefault="00877CC8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77CC8">
        <w:rPr>
          <w:rFonts w:asciiTheme="majorHAnsi" w:hAnsiTheme="majorHAnsi"/>
        </w:rPr>
        <w:t xml:space="preserve">3 overhead back panels (8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 xml:space="preserve"> x 10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>)</w:t>
      </w:r>
    </w:p>
    <w:p w:rsidR="00877CC8" w:rsidRDefault="00877CC8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77CC8">
        <w:rPr>
          <w:rFonts w:asciiTheme="majorHAnsi" w:hAnsiTheme="majorHAnsi"/>
        </w:rPr>
        <w:t xml:space="preserve">54 letter legend overlays – 3 fonts, 18 words/font (2.5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 xml:space="preserve"> x 8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>)</w:t>
      </w:r>
    </w:p>
    <w:p w:rsidR="00F264DF" w:rsidRPr="009F2BEF" w:rsidRDefault="00877CC8" w:rsidP="009F2BE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77CC8">
        <w:rPr>
          <w:rFonts w:asciiTheme="majorHAnsi" w:hAnsiTheme="majorHAnsi"/>
        </w:rPr>
        <w:t xml:space="preserve">18 number legend panels – 3 fonts, 6 number combinations/font (2.5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 xml:space="preserve"> x 4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>)</w:t>
      </w:r>
    </w:p>
    <w:p w:rsidR="00497F2F" w:rsidRDefault="00497F2F" w:rsidP="00497F2F">
      <w:pPr>
        <w:ind w:left="288"/>
        <w:rPr>
          <w:rFonts w:asciiTheme="majorHAnsi" w:hAnsiTheme="majorHAnsi"/>
        </w:rPr>
      </w:pPr>
    </w:p>
    <w:p w:rsidR="008A10B1" w:rsidRPr="00497F2F" w:rsidRDefault="00497F2F" w:rsidP="00497F2F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3C: Data Collection</w:t>
      </w:r>
    </w:p>
    <w:p w:rsidR="00F264DF" w:rsidRPr="00F264DF" w:rsidRDefault="00F264DF" w:rsidP="00F264DF">
      <w:pPr>
        <w:rPr>
          <w:rFonts w:asciiTheme="majorHAnsi" w:hAnsiTheme="majorHAnsi"/>
        </w:rPr>
      </w:pPr>
    </w:p>
    <w:p w:rsidR="00F264DF" w:rsidRDefault="00F264DF" w:rsidP="00F264D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Study Forms</w:t>
      </w:r>
    </w:p>
    <w:p w:rsidR="00F264DF" w:rsidRDefault="00F264DF" w:rsidP="00F264D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forms have been completed including:</w:t>
      </w:r>
    </w:p>
    <w:p w:rsidR="00F264DF" w:rsidRDefault="00F264DF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Recruiting forms</w:t>
      </w:r>
    </w:p>
    <w:p w:rsidR="00F264DF" w:rsidRDefault="00F264DF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Consent forms</w:t>
      </w:r>
    </w:p>
    <w:p w:rsidR="00F264DF" w:rsidRPr="00F264DF" w:rsidRDefault="00F264DF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 xml:space="preserve">Instructions for </w:t>
      </w:r>
      <w:r>
        <w:rPr>
          <w:rFonts w:asciiTheme="majorHAnsi" w:hAnsiTheme="majorHAnsi"/>
        </w:rPr>
        <w:t>researchers</w:t>
      </w:r>
    </w:p>
    <w:p w:rsidR="00F264DF" w:rsidRPr="00F264DF" w:rsidRDefault="00F264DF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 xml:space="preserve">Instructions for </w:t>
      </w:r>
      <w:r>
        <w:rPr>
          <w:rFonts w:asciiTheme="majorHAnsi" w:hAnsiTheme="majorHAnsi"/>
        </w:rPr>
        <w:t>participants</w:t>
      </w:r>
    </w:p>
    <w:p w:rsidR="00F264DF" w:rsidRDefault="00F264DF" w:rsidP="00F264DF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F264DF">
        <w:rPr>
          <w:rFonts w:asciiTheme="majorHAnsi" w:hAnsiTheme="majorHAnsi"/>
        </w:rPr>
        <w:t>Data sheets</w:t>
      </w:r>
    </w:p>
    <w:p w:rsidR="00350B04" w:rsidRDefault="00350B04" w:rsidP="00350B04">
      <w:pPr>
        <w:pStyle w:val="ListParagraph"/>
        <w:ind w:left="2376"/>
        <w:rPr>
          <w:rFonts w:asciiTheme="majorHAnsi" w:hAnsiTheme="majorHAnsi"/>
        </w:rPr>
      </w:pPr>
    </w:p>
    <w:p w:rsidR="002C0752" w:rsidRDefault="002C0752" w:rsidP="00350B04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Instrumented Vehicles</w:t>
      </w:r>
    </w:p>
    <w:p w:rsidR="00350B04" w:rsidRDefault="00350B04" w:rsidP="002C0752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TTI minivans have been equipped with GPS measurement systems for data collection.</w:t>
      </w:r>
    </w:p>
    <w:p w:rsidR="009F2BEF" w:rsidRDefault="009F2BEF" w:rsidP="009F2BEF">
      <w:pPr>
        <w:pStyle w:val="ListParagraph"/>
        <w:ind w:left="1656"/>
        <w:rPr>
          <w:rFonts w:asciiTheme="majorHAnsi" w:hAnsiTheme="majorHAnsi"/>
        </w:rPr>
      </w:pPr>
    </w:p>
    <w:p w:rsidR="009F2BEF" w:rsidRDefault="009F2BEF" w:rsidP="009F2BE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Participants</w:t>
      </w:r>
    </w:p>
    <w:p w:rsidR="009F2BEF" w:rsidRDefault="009F2BEF" w:rsidP="009F2BE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Participant recruiting is beginning this week</w:t>
      </w:r>
    </w:p>
    <w:p w:rsidR="009F2BEF" w:rsidRDefault="009F2BEF" w:rsidP="009F2BEF">
      <w:pPr>
        <w:pStyle w:val="ListParagraph"/>
        <w:ind w:left="1656"/>
        <w:rPr>
          <w:rFonts w:asciiTheme="majorHAnsi" w:hAnsiTheme="majorHAnsi"/>
        </w:rPr>
      </w:pPr>
    </w:p>
    <w:p w:rsidR="009F2BEF" w:rsidRDefault="009F2BEF" w:rsidP="009F2BE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Pilot Study</w:t>
      </w:r>
    </w:p>
    <w:p w:rsidR="009F2BEF" w:rsidRDefault="009F2BEF" w:rsidP="009F2BE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Pilot tests (daytime and nighttime) will be conducted April 10-11</w:t>
      </w:r>
    </w:p>
    <w:p w:rsidR="009F2BEF" w:rsidRDefault="009F2BEF" w:rsidP="009F2BEF">
      <w:pPr>
        <w:pStyle w:val="ListParagraph"/>
        <w:ind w:left="1656"/>
        <w:rPr>
          <w:rFonts w:asciiTheme="majorHAnsi" w:hAnsiTheme="majorHAnsi"/>
        </w:rPr>
      </w:pPr>
    </w:p>
    <w:p w:rsidR="009F2BEF" w:rsidRDefault="009F2BEF" w:rsidP="009F2BE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Run Study</w:t>
      </w:r>
    </w:p>
    <w:p w:rsidR="009F2BEF" w:rsidRPr="009F2BEF" w:rsidRDefault="009F2BEF" w:rsidP="009F2BE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April 14–30 (</w:t>
      </w:r>
      <w:r w:rsidRPr="009F2BEF">
        <w:rPr>
          <w:rFonts w:asciiTheme="majorHAnsi" w:hAnsiTheme="majorHAnsi"/>
        </w:rPr>
        <w:t>Riverside reservations extend through May 12</w:t>
      </w:r>
      <w:r w:rsidR="009A0A46">
        <w:rPr>
          <w:rFonts w:asciiTheme="majorHAnsi" w:hAnsiTheme="majorHAnsi"/>
        </w:rPr>
        <w:t>,</w:t>
      </w:r>
      <w:r w:rsidRPr="009F2BEF">
        <w:rPr>
          <w:rFonts w:asciiTheme="majorHAnsi" w:hAnsiTheme="majorHAnsi"/>
        </w:rPr>
        <w:t xml:space="preserve"> in </w:t>
      </w:r>
      <w:r w:rsidR="0036547E">
        <w:rPr>
          <w:rFonts w:asciiTheme="majorHAnsi" w:hAnsiTheme="majorHAnsi"/>
        </w:rPr>
        <w:t>event of</w:t>
      </w:r>
      <w:r w:rsidRPr="009F2BEF">
        <w:rPr>
          <w:rFonts w:asciiTheme="majorHAnsi" w:hAnsiTheme="majorHAnsi"/>
        </w:rPr>
        <w:t xml:space="preserve"> rain, etc.</w:t>
      </w:r>
      <w:r>
        <w:rPr>
          <w:rFonts w:asciiTheme="majorHAnsi" w:hAnsiTheme="majorHAnsi"/>
        </w:rPr>
        <w:t>)</w:t>
      </w:r>
    </w:p>
    <w:p w:rsidR="00350B04" w:rsidRPr="0036547E" w:rsidRDefault="00460CBE" w:rsidP="0036547E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 to run 4-6 participants per night</w:t>
      </w:r>
    </w:p>
    <w:sectPr w:rsidR="00350B04" w:rsidRPr="0036547E" w:rsidSect="008A1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DD3"/>
    <w:multiLevelType w:val="hybridMultilevel"/>
    <w:tmpl w:val="CD107D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1B8F0354"/>
    <w:multiLevelType w:val="hybridMultilevel"/>
    <w:tmpl w:val="EB0E1B7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1D6C72E3"/>
    <w:multiLevelType w:val="hybridMultilevel"/>
    <w:tmpl w:val="79E6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20BAD"/>
    <w:multiLevelType w:val="hybridMultilevel"/>
    <w:tmpl w:val="57C81EB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3E772564"/>
    <w:multiLevelType w:val="hybridMultilevel"/>
    <w:tmpl w:val="5382F3C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677D6A27"/>
    <w:multiLevelType w:val="hybridMultilevel"/>
    <w:tmpl w:val="39303B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C25AD8"/>
    <w:multiLevelType w:val="hybridMultilevel"/>
    <w:tmpl w:val="ADB8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B1"/>
    <w:rsid w:val="00014BA7"/>
    <w:rsid w:val="00095216"/>
    <w:rsid w:val="00195FF1"/>
    <w:rsid w:val="0023541B"/>
    <w:rsid w:val="002A3495"/>
    <w:rsid w:val="002C0752"/>
    <w:rsid w:val="002D6AAF"/>
    <w:rsid w:val="00350B04"/>
    <w:rsid w:val="0036547E"/>
    <w:rsid w:val="003A0148"/>
    <w:rsid w:val="00403AF3"/>
    <w:rsid w:val="00460CBE"/>
    <w:rsid w:val="00497F2F"/>
    <w:rsid w:val="004E4637"/>
    <w:rsid w:val="005336B3"/>
    <w:rsid w:val="005530A3"/>
    <w:rsid w:val="00620805"/>
    <w:rsid w:val="00660186"/>
    <w:rsid w:val="007126B1"/>
    <w:rsid w:val="007A5D68"/>
    <w:rsid w:val="00836FAB"/>
    <w:rsid w:val="008677CF"/>
    <w:rsid w:val="00877CC8"/>
    <w:rsid w:val="008824C4"/>
    <w:rsid w:val="008A10B1"/>
    <w:rsid w:val="008D7C84"/>
    <w:rsid w:val="00915098"/>
    <w:rsid w:val="00966775"/>
    <w:rsid w:val="00983E1F"/>
    <w:rsid w:val="009A0A46"/>
    <w:rsid w:val="009F2BEF"/>
    <w:rsid w:val="00A155E0"/>
    <w:rsid w:val="00B82131"/>
    <w:rsid w:val="00BD74CC"/>
    <w:rsid w:val="00C66CC8"/>
    <w:rsid w:val="00C731DB"/>
    <w:rsid w:val="00D35473"/>
    <w:rsid w:val="00DA0D97"/>
    <w:rsid w:val="00EA34A5"/>
    <w:rsid w:val="00F264DF"/>
    <w:rsid w:val="00F46A54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tti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Kotwal, Bari</dc:creator>
  <cp:lastModifiedBy>Kotwal, Bari</cp:lastModifiedBy>
  <cp:revision>37</cp:revision>
  <dcterms:created xsi:type="dcterms:W3CDTF">2013-04-03T18:48:00Z</dcterms:created>
  <dcterms:modified xsi:type="dcterms:W3CDTF">2013-04-03T20:41:00Z</dcterms:modified>
</cp:coreProperties>
</file>