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36501F">
        <w:rPr>
          <w:rFonts w:ascii="Arial" w:hAnsi="Arial" w:cs="Arial"/>
          <w:sz w:val="24"/>
          <w:szCs w:val="24"/>
        </w:rPr>
        <w:t>July 1</w:t>
      </w:r>
      <w:r w:rsidR="00454CF6">
        <w:rPr>
          <w:rFonts w:ascii="Arial" w:hAnsi="Arial" w:cs="Arial"/>
          <w:sz w:val="24"/>
          <w:szCs w:val="24"/>
        </w:rPr>
        <w:t>, 201</w:t>
      </w:r>
      <w:r w:rsidR="0036501F">
        <w:rPr>
          <w:rFonts w:ascii="Arial" w:hAnsi="Arial" w:cs="Arial"/>
          <w:sz w:val="24"/>
          <w:szCs w:val="24"/>
        </w:rPr>
        <w:t>3</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135</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F3B39" w:rsidRDefault="00551D8A" w:rsidP="00AC6D9E">
            <w:pPr>
              <w:pStyle w:val="ListParagraph"/>
              <w:tabs>
                <w:tab w:val="left" w:pos="252"/>
              </w:tabs>
              <w:ind w:left="0" w:right="-720"/>
              <w:rPr>
                <w:rFonts w:ascii="Arial" w:hAnsi="Arial" w:cs="Arial"/>
                <w:sz w:val="20"/>
                <w:szCs w:val="20"/>
              </w:rPr>
            </w:pPr>
            <w:r w:rsidRPr="008F3B39">
              <w:rPr>
                <w:rFonts w:ascii="Arial" w:hAnsi="Arial" w:cs="Arial"/>
                <w:sz w:val="20"/>
                <w:szCs w:val="20"/>
              </w:rPr>
              <w:t>Quarter 1 (January 1 – March 31)</w:t>
            </w:r>
          </w:p>
          <w:p w:rsidR="00AC6D9E" w:rsidRPr="00AC6D9E" w:rsidRDefault="00AC6D9E" w:rsidP="00037FBC">
            <w:pPr>
              <w:ind w:right="-720"/>
              <w:rPr>
                <w:rFonts w:ascii="Arial" w:hAnsi="Arial" w:cs="Arial"/>
                <w:sz w:val="20"/>
                <w:szCs w:val="20"/>
              </w:rPr>
            </w:pPr>
          </w:p>
          <w:p w:rsidR="00551D8A" w:rsidRPr="00AC6D9E" w:rsidRDefault="00551D8A" w:rsidP="00AC6D9E">
            <w:pPr>
              <w:pStyle w:val="ListParagraph"/>
              <w:numPr>
                <w:ilvl w:val="0"/>
                <w:numId w:val="6"/>
              </w:numPr>
              <w:ind w:right="-720"/>
              <w:rPr>
                <w:rFonts w:ascii="Arial" w:hAnsi="Arial" w:cs="Arial"/>
                <w:sz w:val="20"/>
                <w:szCs w:val="20"/>
              </w:rPr>
            </w:pPr>
            <w:r w:rsidRPr="00AC6D9E">
              <w:rPr>
                <w:rFonts w:ascii="Arial" w:hAnsi="Arial" w:cs="Arial"/>
                <w:sz w:val="20"/>
                <w:szCs w:val="20"/>
              </w:rPr>
              <w:t>Quarter 2 (April 1 – June 30)</w:t>
            </w:r>
          </w:p>
          <w:p w:rsidR="00AC6D9E" w:rsidRPr="00AC6D9E" w:rsidRDefault="00AC6D9E" w:rsidP="00037FBC">
            <w:pPr>
              <w:ind w:right="-720"/>
              <w:rPr>
                <w:rFonts w:ascii="Arial" w:hAnsi="Arial" w:cs="Arial"/>
                <w:sz w:val="20"/>
                <w:szCs w:val="20"/>
              </w:rPr>
            </w:pPr>
          </w:p>
          <w:p w:rsidR="00551D8A" w:rsidRDefault="00551D8A" w:rsidP="00037FBC">
            <w:pPr>
              <w:ind w:right="-720"/>
              <w:rPr>
                <w:rFonts w:ascii="Arial" w:hAnsi="Arial" w:cs="Arial"/>
                <w:sz w:val="20"/>
                <w:szCs w:val="20"/>
              </w:rPr>
            </w:pPr>
            <w:r>
              <w:rPr>
                <w:rFonts w:ascii="Arial" w:hAnsi="Arial" w:cs="Arial"/>
                <w:sz w:val="20"/>
                <w:szCs w:val="20"/>
              </w:rPr>
              <w:t>Quarter 3 (July 1 – September 30)</w:t>
            </w:r>
          </w:p>
          <w:p w:rsidR="00AC6D9E" w:rsidRPr="00AC6D9E" w:rsidRDefault="00AC6D9E" w:rsidP="008F3B39">
            <w:pPr>
              <w:tabs>
                <w:tab w:val="left" w:pos="252"/>
              </w:tabs>
              <w:ind w:right="-720"/>
              <w:rPr>
                <w:rFonts w:ascii="Arial" w:hAnsi="Arial" w:cs="Arial"/>
                <w:sz w:val="20"/>
                <w:szCs w:val="20"/>
              </w:rPr>
            </w:pPr>
          </w:p>
          <w:p w:rsidR="00551D8A" w:rsidRPr="008F3B39" w:rsidRDefault="00581B36" w:rsidP="008F3B39">
            <w:pPr>
              <w:tabs>
                <w:tab w:val="left" w:pos="252"/>
              </w:tabs>
              <w:ind w:right="-720"/>
              <w:rPr>
                <w:rFonts w:ascii="Arial" w:hAnsi="Arial" w:cs="Arial"/>
                <w:sz w:val="20"/>
                <w:szCs w:val="20"/>
              </w:rPr>
            </w:pPr>
            <w:r w:rsidRPr="008F3B39">
              <w:rPr>
                <w:rFonts w:ascii="Arial" w:hAnsi="Arial" w:cs="Arial"/>
                <w:sz w:val="20"/>
                <w:szCs w:val="20"/>
              </w:rPr>
              <w:t>Quarter 4 (October 1</w:t>
            </w:r>
            <w:r w:rsidR="00551D8A" w:rsidRPr="008F3B39">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25DB0" w:rsidP="00551D8A">
            <w:pPr>
              <w:ind w:right="-720"/>
              <w:rPr>
                <w:rFonts w:ascii="Arial" w:hAnsi="Arial" w:cs="Arial"/>
                <w:b/>
                <w:sz w:val="20"/>
                <w:szCs w:val="20"/>
              </w:rPr>
            </w:pPr>
            <w:r>
              <w:rPr>
                <w:rFonts w:ascii="Arial" w:hAnsi="Arial" w:cs="Arial"/>
                <w:b/>
                <w:sz w:val="20"/>
                <w:szCs w:val="20"/>
              </w:rPr>
              <w:t>Tire/Pavement Noise Research</w:t>
            </w:r>
            <w:r w:rsidR="00FA2CBB">
              <w:rPr>
                <w:rFonts w:ascii="Arial" w:hAnsi="Arial" w:cs="Arial"/>
                <w:b/>
                <w:sz w:val="20"/>
                <w:szCs w:val="20"/>
              </w:rPr>
              <w:t xml:space="preserve">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225DB0" w:rsidP="0003476C">
            <w:pPr>
              <w:ind w:right="-720"/>
              <w:rPr>
                <w:rFonts w:ascii="Arial" w:hAnsi="Arial" w:cs="Arial"/>
                <w:b/>
                <w:sz w:val="20"/>
                <w:szCs w:val="20"/>
              </w:rPr>
            </w:pPr>
            <w:r>
              <w:rPr>
                <w:rFonts w:ascii="Arial" w:hAnsi="Arial" w:cs="Arial"/>
                <w:b/>
                <w:sz w:val="20"/>
                <w:szCs w:val="20"/>
              </w:rPr>
              <w:t>Y10704AA</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225DB0">
              <w:rPr>
                <w:rFonts w:ascii="Arial" w:hAnsi="Arial" w:cs="Arial"/>
                <w:sz w:val="20"/>
                <w:szCs w:val="20"/>
              </w:rPr>
              <w:t>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36501F" w:rsidP="00FA2CBB">
            <w:pPr>
              <w:ind w:right="-720"/>
              <w:rPr>
                <w:rFonts w:ascii="Arial" w:hAnsi="Arial" w:cs="Arial"/>
                <w:b/>
                <w:sz w:val="20"/>
                <w:szCs w:val="20"/>
              </w:rPr>
            </w:pPr>
            <w:r>
              <w:rPr>
                <w:rFonts w:ascii="Arial" w:hAnsi="Arial" w:cs="Arial"/>
                <w:b/>
                <w:sz w:val="20"/>
                <w:szCs w:val="20"/>
              </w:rPr>
              <w:t>12/31/2013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6501F"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36501F">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6</w:t>
            </w:r>
            <w:r w:rsidR="0036501F">
              <w:rPr>
                <w:rFonts w:ascii="Arial" w:hAnsi="Arial" w:cs="Arial"/>
                <w:sz w:val="20"/>
                <w:szCs w:val="20"/>
              </w:rPr>
              <w:t>8</w:t>
            </w:r>
            <w:r w:rsidR="00225DB0">
              <w:rPr>
                <w:rFonts w:ascii="Arial" w:hAnsi="Arial" w:cs="Arial"/>
                <w:sz w:val="20"/>
                <w:szCs w:val="20"/>
              </w:rPr>
              <w:t>9,386</w:t>
            </w:r>
          </w:p>
        </w:tc>
        <w:tc>
          <w:tcPr>
            <w:tcW w:w="3330" w:type="dxa"/>
          </w:tcPr>
          <w:p w:rsidR="00F30254" w:rsidRPr="00B66A21" w:rsidRDefault="00F30254" w:rsidP="0036501F">
            <w:pPr>
              <w:ind w:right="-720"/>
              <w:rPr>
                <w:rFonts w:ascii="Arial" w:hAnsi="Arial" w:cs="Arial"/>
                <w:sz w:val="20"/>
                <w:szCs w:val="20"/>
              </w:rPr>
            </w:pPr>
            <w:r>
              <w:rPr>
                <w:rFonts w:ascii="Arial" w:hAnsi="Arial" w:cs="Arial"/>
                <w:sz w:val="20"/>
                <w:szCs w:val="20"/>
              </w:rPr>
              <w:t>$</w:t>
            </w:r>
            <w:r w:rsidR="0036501F">
              <w:rPr>
                <w:rFonts w:ascii="Arial" w:hAnsi="Arial" w:cs="Arial"/>
                <w:sz w:val="20"/>
                <w:szCs w:val="20"/>
              </w:rPr>
              <w:t>541</w:t>
            </w:r>
            <w:r w:rsidR="00225DB0">
              <w:rPr>
                <w:rFonts w:ascii="Arial" w:hAnsi="Arial" w:cs="Arial"/>
                <w:sz w:val="20"/>
                <w:szCs w:val="20"/>
              </w:rPr>
              <w:t>,</w:t>
            </w:r>
            <w:r w:rsidR="0036501F">
              <w:rPr>
                <w:rFonts w:ascii="Arial" w:hAnsi="Arial" w:cs="Arial"/>
                <w:sz w:val="20"/>
                <w:szCs w:val="20"/>
              </w:rPr>
              <w:t>231</w:t>
            </w:r>
            <w:r w:rsidR="00225DB0">
              <w:rPr>
                <w:rFonts w:ascii="Arial" w:hAnsi="Arial" w:cs="Arial"/>
                <w:sz w:val="20"/>
                <w:szCs w:val="20"/>
              </w:rPr>
              <w:t>.</w:t>
            </w:r>
            <w:r w:rsidR="0036501F">
              <w:rPr>
                <w:rFonts w:ascii="Arial" w:hAnsi="Arial" w:cs="Arial"/>
                <w:sz w:val="20"/>
                <w:szCs w:val="20"/>
              </w:rPr>
              <w:t>43</w:t>
            </w:r>
          </w:p>
        </w:tc>
        <w:tc>
          <w:tcPr>
            <w:tcW w:w="3420" w:type="dxa"/>
          </w:tcPr>
          <w:p w:rsidR="00874EF7" w:rsidRPr="00B66A21" w:rsidRDefault="0036501F" w:rsidP="00551D8A">
            <w:pPr>
              <w:ind w:right="-720"/>
              <w:rPr>
                <w:rFonts w:ascii="Arial" w:hAnsi="Arial" w:cs="Arial"/>
                <w:sz w:val="20"/>
                <w:szCs w:val="20"/>
              </w:rPr>
            </w:pPr>
            <w:r>
              <w:rPr>
                <w:rFonts w:ascii="Arial" w:hAnsi="Arial" w:cs="Arial"/>
                <w:sz w:val="20"/>
                <w:szCs w:val="20"/>
              </w:rPr>
              <w:t>80</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3B39">
            <w:pPr>
              <w:ind w:right="-720"/>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Minimizing the impact of traffic noise on the public is a priority for state highway agencies and the FHWA. As tire-pavement noise is the single largest contributor to traffic noise on many highways, increased utilization of low-noise pavement surfaces may reduce overall traffic noise or reduce the need for expensive traditional noise mitigation measures. Developing low-noise pavement surfaces that are both durable and safe is of high interest to both state highway agencies and FHWA. Utilization of low-noise surfaces may also provide a noise reduction alternative where traditional noise mitigation measures such as walls and berms are not a viable solution. Examples of problematic areas include many bridges/structures, areas with unstable slopes, locations near water bodies/wetlands, dike/levee/floodplain sectors, where utilities near roadways cannot be moved, and in heavily urbanized areas within a built environment. </w:t>
                  </w:r>
                  <w:r w:rsidRPr="00A6549C">
                    <w:rPr>
                      <w:rFonts w:ascii="Arial" w:hAnsi="Arial" w:cs="Arial"/>
                      <w:color w:val="333333"/>
                      <w:sz w:val="20"/>
                      <w:szCs w:val="20"/>
                    </w:rPr>
                    <w:br/>
                  </w:r>
                  <w:r w:rsidRPr="00A6549C">
                    <w:rPr>
                      <w:rFonts w:ascii="Arial" w:hAnsi="Arial" w:cs="Arial"/>
                      <w:color w:val="333333"/>
                      <w:sz w:val="20"/>
                      <w:szCs w:val="20"/>
                    </w:rPr>
                    <w:br/>
                    <w:t>Research into these low-noise pavement treatments and materials is beginning in earnest in a variety of states. Coordinated sharing of research development, evaluation techniques, and study results is critical to reduce overall costs for key research pieces, reduce redundancy of effort, focus funding in the most needed areas, and find viable solutions that can be implemented expeditiously for the highest number of states. In shor</w:t>
                  </w:r>
                  <w:r>
                    <w:rPr>
                      <w:rFonts w:ascii="Arial" w:hAnsi="Arial" w:cs="Arial"/>
                      <w:color w:val="333333"/>
                      <w:sz w:val="20"/>
                      <w:szCs w:val="20"/>
                    </w:rPr>
                    <w:t>t, a collaborative effort can cr</w:t>
                  </w:r>
                  <w:r w:rsidRPr="00A6549C">
                    <w:rPr>
                      <w:rFonts w:ascii="Arial" w:hAnsi="Arial" w:cs="Arial"/>
                      <w:color w:val="333333"/>
                      <w:sz w:val="20"/>
                      <w:szCs w:val="20"/>
                    </w:rPr>
                    <w:t xml:space="preserve">eate greater benefits than the independent efforts of individual states. </w:t>
                  </w:r>
                </w:p>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The objectives of this research are as follows: </w:t>
                  </w:r>
                  <w:r w:rsidRPr="00A6549C">
                    <w:rPr>
                      <w:rFonts w:ascii="Arial" w:hAnsi="Arial" w:cs="Arial"/>
                      <w:color w:val="333333"/>
                      <w:sz w:val="20"/>
                      <w:szCs w:val="20"/>
                    </w:rPr>
                    <w:br/>
                    <w:t xml:space="preserve">- Provide a forum for states to discuss tire/pavement noise issues and develop a proposed research plan. </w:t>
                  </w:r>
                  <w:r w:rsidRPr="00A6549C">
                    <w:rPr>
                      <w:rFonts w:ascii="Arial" w:hAnsi="Arial" w:cs="Arial"/>
                      <w:color w:val="333333"/>
                      <w:sz w:val="20"/>
                      <w:szCs w:val="20"/>
                    </w:rPr>
                    <w:br/>
                    <w:t>- Pool resources and efforts of multiple state agencies and industry to perform tire/pavement noise research in a similar manner (avoiding duplication) and sharing of data.</w:t>
                  </w:r>
                </w:p>
                <w:p w:rsidR="00A6549C" w:rsidRDefault="00A6549C" w:rsidP="00A6549C">
                  <w:pPr>
                    <w:spacing w:line="240" w:lineRule="auto"/>
                    <w:rPr>
                      <w:rFonts w:ascii="Arial" w:hAnsi="Arial" w:cs="Arial"/>
                      <w:color w:val="333333"/>
                      <w:sz w:val="20"/>
                      <w:szCs w:val="20"/>
                    </w:rPr>
                  </w:pPr>
                  <w:r>
                    <w:rPr>
                      <w:rFonts w:ascii="Arial" w:hAnsi="Arial" w:cs="Arial"/>
                      <w:color w:val="333333"/>
                      <w:sz w:val="20"/>
                      <w:szCs w:val="20"/>
                    </w:rPr>
                    <w:t>Specific tasks that the contractor is performing:</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General Consultation</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Montana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Ohio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Kansas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Support for Volpe B&amp;K Class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Volpe Training &amp; Comparative OBSI</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NCAT Track OBSI Measurements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Rodeo Support &amp; Participation</w:t>
                  </w:r>
                </w:p>
                <w:p w:rsidR="00A6549C" w:rsidRDefault="00A6549C" w:rsidP="00A6549C">
                  <w:pPr>
                    <w:pStyle w:val="ListParagraph"/>
                    <w:numPr>
                      <w:ilvl w:val="0"/>
                      <w:numId w:val="4"/>
                    </w:numPr>
                    <w:spacing w:line="240" w:lineRule="auto"/>
                    <w:rPr>
                      <w:rFonts w:ascii="Arial" w:hAnsi="Arial" w:cs="Arial"/>
                      <w:color w:val="333333"/>
                      <w:sz w:val="20"/>
                      <w:szCs w:val="20"/>
                    </w:rPr>
                  </w:pPr>
                  <w:r>
                    <w:rPr>
                      <w:rFonts w:ascii="Arial" w:hAnsi="Arial" w:cs="Arial"/>
                      <w:color w:val="333333"/>
                      <w:sz w:val="20"/>
                      <w:szCs w:val="20"/>
                    </w:rPr>
                    <w:t>Comparative Testing with TxDOT, UT CTR, Transtec, and I&amp;R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Calibrator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Scale for Tire Loading</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B&amp;K Pulse Data Analysis Routine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Quiet Pavement Folio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NI System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Database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NC DOT Ambassador/Rodeo (FDOT, NCDOT, Volpe)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WSDOT Rodeo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New SRTT Evaluation</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Rodeo</w:t>
                  </w:r>
                </w:p>
                <w:p w:rsidR="00A6549C" w:rsidRP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Outreach</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71359" w:rsidRDefault="0036501F" w:rsidP="00F30254">
            <w:pPr>
              <w:ind w:right="252"/>
              <w:rPr>
                <w:rFonts w:ascii="Arial" w:hAnsi="Arial" w:cs="Arial"/>
                <w:sz w:val="20"/>
                <w:szCs w:val="20"/>
              </w:rPr>
            </w:pPr>
            <w:r>
              <w:rPr>
                <w:rFonts w:ascii="Arial" w:hAnsi="Arial" w:cs="Arial"/>
                <w:sz w:val="20"/>
                <w:szCs w:val="20"/>
              </w:rPr>
              <w:t>Preparation for the end of July meeting in Santa Fe. Most of the research (see above) was completed by December 2012 and I&amp;R did not perform any work between then and June 2013.</w:t>
            </w:r>
            <w:bookmarkStart w:id="0" w:name="_GoBack"/>
            <w:bookmarkEnd w:id="0"/>
          </w:p>
          <w:p w:rsidR="0036501F" w:rsidRDefault="0036501F" w:rsidP="00F30254">
            <w:pPr>
              <w:ind w:right="252"/>
              <w:rPr>
                <w:rFonts w:ascii="Arial" w:hAnsi="Arial" w:cs="Arial"/>
                <w:sz w:val="20"/>
                <w:szCs w:val="20"/>
              </w:rPr>
            </w:pPr>
            <w:r>
              <w:rPr>
                <w:rFonts w:ascii="Arial" w:hAnsi="Arial" w:cs="Arial"/>
                <w:sz w:val="20"/>
                <w:szCs w:val="20"/>
              </w:rPr>
              <w:t>The contract with Illingworth &amp; Rodkin was extended to include the work necessary to prepare and record the roadmap workshop.</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A6549C" w:rsidP="00F30254">
            <w:pPr>
              <w:ind w:right="180"/>
              <w:rPr>
                <w:rFonts w:ascii="Arial" w:hAnsi="Arial" w:cs="Arial"/>
                <w:sz w:val="20"/>
                <w:szCs w:val="20"/>
              </w:rPr>
            </w:pPr>
            <w:r>
              <w:rPr>
                <w:rFonts w:ascii="Arial" w:hAnsi="Arial" w:cs="Arial"/>
                <w:sz w:val="20"/>
                <w:szCs w:val="20"/>
              </w:rPr>
              <w:lastRenderedPageBreak/>
              <w:t xml:space="preserve">Continue </w:t>
            </w:r>
            <w:r w:rsidR="00AC6D9E">
              <w:rPr>
                <w:rFonts w:ascii="Arial" w:hAnsi="Arial" w:cs="Arial"/>
                <w:sz w:val="20"/>
                <w:szCs w:val="20"/>
              </w:rPr>
              <w:t xml:space="preserve">planning </w:t>
            </w:r>
            <w:r w:rsidR="0036501F">
              <w:rPr>
                <w:rFonts w:ascii="Arial" w:hAnsi="Arial" w:cs="Arial"/>
                <w:sz w:val="20"/>
                <w:szCs w:val="20"/>
              </w:rPr>
              <w:t xml:space="preserve">for </w:t>
            </w:r>
            <w:r w:rsidR="00AC6D9E">
              <w:rPr>
                <w:rFonts w:ascii="Arial" w:hAnsi="Arial" w:cs="Arial"/>
                <w:sz w:val="20"/>
                <w:szCs w:val="20"/>
              </w:rPr>
              <w:t xml:space="preserve">a workshop </w:t>
            </w:r>
            <w:r w:rsidR="0036501F">
              <w:rPr>
                <w:rFonts w:ascii="Arial" w:hAnsi="Arial" w:cs="Arial"/>
                <w:sz w:val="20"/>
                <w:szCs w:val="20"/>
              </w:rPr>
              <w:t>in</w:t>
            </w:r>
            <w:r w:rsidR="00AC6D9E">
              <w:rPr>
                <w:rFonts w:ascii="Arial" w:hAnsi="Arial" w:cs="Arial"/>
                <w:sz w:val="20"/>
                <w:szCs w:val="20"/>
              </w:rPr>
              <w:t xml:space="preserve"> 2013</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99C" w:rsidRDefault="00E0399C" w:rsidP="00106C83">
      <w:pPr>
        <w:spacing w:after="0" w:line="240" w:lineRule="auto"/>
      </w:pPr>
      <w:r>
        <w:separator/>
      </w:r>
    </w:p>
  </w:endnote>
  <w:endnote w:type="continuationSeparator" w:id="0">
    <w:p w:rsidR="00E0399C" w:rsidRDefault="00E0399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99C" w:rsidRDefault="00E0399C" w:rsidP="00106C83">
      <w:pPr>
        <w:spacing w:after="0" w:line="240" w:lineRule="auto"/>
      </w:pPr>
      <w:r>
        <w:separator/>
      </w:r>
    </w:p>
  </w:footnote>
  <w:footnote w:type="continuationSeparator" w:id="0">
    <w:p w:rsidR="00E0399C" w:rsidRDefault="00E0399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75C"/>
    <w:multiLevelType w:val="hybridMultilevel"/>
    <w:tmpl w:val="8110C23E"/>
    <w:lvl w:ilvl="0" w:tplc="4246F52E">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785F"/>
    <w:multiLevelType w:val="singleLevel"/>
    <w:tmpl w:val="73E4631E"/>
    <w:lvl w:ilvl="0">
      <w:start w:val="1"/>
      <w:numFmt w:val="decimal"/>
      <w:pStyle w:val="List1"/>
      <w:lvlText w:val="%1."/>
      <w:lvlJc w:val="left"/>
      <w:pPr>
        <w:tabs>
          <w:tab w:val="num" w:pos="360"/>
        </w:tabs>
        <w:ind w:left="360" w:hanging="360"/>
      </w:pPr>
    </w:lvl>
  </w:abstractNum>
  <w:abstractNum w:abstractNumId="4">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C3285B"/>
    <w:multiLevelType w:val="hybridMultilevel"/>
    <w:tmpl w:val="E56E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21446D"/>
    <w:rsid w:val="00225DB0"/>
    <w:rsid w:val="00243243"/>
    <w:rsid w:val="00293FD8"/>
    <w:rsid w:val="002A79C8"/>
    <w:rsid w:val="00316FB8"/>
    <w:rsid w:val="0036501F"/>
    <w:rsid w:val="0038705A"/>
    <w:rsid w:val="003C2AE6"/>
    <w:rsid w:val="004144E6"/>
    <w:rsid w:val="004156B2"/>
    <w:rsid w:val="00437734"/>
    <w:rsid w:val="00454CF6"/>
    <w:rsid w:val="004E14DC"/>
    <w:rsid w:val="00535598"/>
    <w:rsid w:val="00547EE3"/>
    <w:rsid w:val="00551D8A"/>
    <w:rsid w:val="00581B36"/>
    <w:rsid w:val="00583E8E"/>
    <w:rsid w:val="005D6B0B"/>
    <w:rsid w:val="00601EBD"/>
    <w:rsid w:val="00682C5E"/>
    <w:rsid w:val="00692485"/>
    <w:rsid w:val="00706E2C"/>
    <w:rsid w:val="00743C01"/>
    <w:rsid w:val="00790C4A"/>
    <w:rsid w:val="007E5BD2"/>
    <w:rsid w:val="008341F4"/>
    <w:rsid w:val="00853C7E"/>
    <w:rsid w:val="00872F18"/>
    <w:rsid w:val="00874EF7"/>
    <w:rsid w:val="008F3B39"/>
    <w:rsid w:val="00905DAC"/>
    <w:rsid w:val="009E4EA6"/>
    <w:rsid w:val="00A43875"/>
    <w:rsid w:val="00A63677"/>
    <w:rsid w:val="00A6549C"/>
    <w:rsid w:val="00AC6D9E"/>
    <w:rsid w:val="00AE46B0"/>
    <w:rsid w:val="00B2185C"/>
    <w:rsid w:val="00B358DC"/>
    <w:rsid w:val="00B66A21"/>
    <w:rsid w:val="00BA0DA8"/>
    <w:rsid w:val="00BE2C0A"/>
    <w:rsid w:val="00C12A61"/>
    <w:rsid w:val="00C13753"/>
    <w:rsid w:val="00D262FF"/>
    <w:rsid w:val="00D42A15"/>
    <w:rsid w:val="00E0399C"/>
    <w:rsid w:val="00E35E0F"/>
    <w:rsid w:val="00E371D1"/>
    <w:rsid w:val="00E53738"/>
    <w:rsid w:val="00E71359"/>
    <w:rsid w:val="00EA09F2"/>
    <w:rsid w:val="00ED5F67"/>
    <w:rsid w:val="00EF08AE"/>
    <w:rsid w:val="00EF5790"/>
    <w:rsid w:val="00F04709"/>
    <w:rsid w:val="00F07D14"/>
    <w:rsid w:val="00F30254"/>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39EFB-F0DE-4C90-90A7-FE77E3B0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2013-08-21T20:53:00Z</dcterms:created>
  <dcterms:modified xsi:type="dcterms:W3CDTF">2013-08-21T20:53:00Z</dcterms:modified>
</cp:coreProperties>
</file>