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444BAB">
        <w:rPr>
          <w:rFonts w:ascii="Arial" w:hAnsi="Arial" w:cs="Arial"/>
          <w:b/>
          <w:sz w:val="24"/>
          <w:szCs w:val="24"/>
        </w:rPr>
        <w:t>04/30/2013</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444BAB" w:rsidRDefault="00444BAB" w:rsidP="00FF0AFF">
            <w:pPr>
              <w:ind w:left="360" w:right="-720" w:hanging="360"/>
              <w:rPr>
                <w:rFonts w:ascii="Arial" w:hAnsi="Arial" w:cs="Arial"/>
                <w:b/>
                <w:i/>
                <w:sz w:val="20"/>
                <w:szCs w:val="20"/>
              </w:rPr>
            </w:pPr>
            <w:r w:rsidRPr="00444BAB">
              <w:rPr>
                <w:rFonts w:ascii="Arial" w:hAnsi="Arial" w:cs="Arial"/>
                <w:b/>
                <w:i/>
                <w:sz w:val="20"/>
                <w:szCs w:val="20"/>
                <w:u w:val="single"/>
              </w:rPr>
              <w:t>x</w:t>
            </w:r>
            <w:r w:rsidR="00F526C7" w:rsidRPr="00444BAB">
              <w:rPr>
                <w:rFonts w:ascii="Arial" w:hAnsi="Arial" w:cs="Arial"/>
                <w:b/>
                <w:i/>
                <w:sz w:val="20"/>
                <w:szCs w:val="20"/>
              </w:rPr>
              <w:t xml:space="preserve"> </w:t>
            </w:r>
            <w:r w:rsidR="00551D8A" w:rsidRPr="00444BAB">
              <w:rPr>
                <w:rFonts w:ascii="Arial" w:hAnsi="Arial" w:cs="Arial"/>
                <w:b/>
                <w:i/>
                <w:sz w:val="20"/>
                <w:szCs w:val="20"/>
              </w:rPr>
              <w:t>Quarter 1 (January 1 – March 31)</w:t>
            </w:r>
          </w:p>
          <w:p w:rsidR="00970A34" w:rsidRPr="00F526C7" w:rsidRDefault="00F526C7" w:rsidP="00F526C7">
            <w:pPr>
              <w:ind w:right="-720"/>
              <w:rPr>
                <w:rFonts w:ascii="Arial" w:hAnsi="Arial" w:cs="Arial"/>
                <w:sz w:val="20"/>
                <w:szCs w:val="20"/>
              </w:rPr>
            </w:pPr>
            <w:r>
              <w:rPr>
                <w:rFonts w:ascii="Arial" w:hAnsi="Arial" w:cs="Arial"/>
                <w:sz w:val="20"/>
                <w:szCs w:val="20"/>
              </w:rPr>
              <w:t xml:space="preserve">_ </w:t>
            </w:r>
            <w:r w:rsidR="00551D8A" w:rsidRPr="00F526C7">
              <w:rPr>
                <w:rFonts w:ascii="Arial" w:hAnsi="Arial" w:cs="Arial"/>
                <w:sz w:val="20"/>
                <w:szCs w:val="20"/>
              </w:rPr>
              <w:t>Quarter 2 (April 1 – June 30)</w:t>
            </w:r>
          </w:p>
          <w:p w:rsidR="00551D8A" w:rsidRPr="00A41586" w:rsidRDefault="00A41586" w:rsidP="00862AA0">
            <w:pPr>
              <w:ind w:right="-720"/>
              <w:rPr>
                <w:rFonts w:ascii="Arial" w:hAnsi="Arial" w:cs="Arial"/>
                <w:sz w:val="20"/>
                <w:szCs w:val="20"/>
              </w:rPr>
            </w:pPr>
            <w:r w:rsidRPr="00A41586">
              <w:rPr>
                <w:rFonts w:ascii="Arial" w:hAnsi="Arial" w:cs="Arial"/>
                <w:sz w:val="20"/>
                <w:szCs w:val="20"/>
              </w:rPr>
              <w:t>_</w:t>
            </w:r>
            <w:r w:rsidR="00862AA0" w:rsidRPr="00A41586">
              <w:rPr>
                <w:rFonts w:ascii="Arial" w:hAnsi="Arial" w:cs="Arial"/>
                <w:sz w:val="20"/>
                <w:szCs w:val="20"/>
              </w:rPr>
              <w:t xml:space="preserve"> </w:t>
            </w:r>
            <w:r w:rsidR="00551D8A" w:rsidRPr="00A41586">
              <w:rPr>
                <w:rFonts w:ascii="Arial" w:hAnsi="Arial" w:cs="Arial"/>
                <w:sz w:val="20"/>
                <w:szCs w:val="20"/>
              </w:rPr>
              <w:t>Quarter 3 (July 1 – September 30)</w:t>
            </w:r>
          </w:p>
          <w:p w:rsidR="00551D8A" w:rsidRPr="00444BAB" w:rsidRDefault="00444BAB" w:rsidP="00A41586">
            <w:pPr>
              <w:ind w:right="-720"/>
              <w:rPr>
                <w:rFonts w:ascii="Arial" w:hAnsi="Arial" w:cs="Arial"/>
                <w:sz w:val="20"/>
                <w:szCs w:val="20"/>
              </w:rPr>
            </w:pPr>
            <w:r w:rsidRPr="00444BAB">
              <w:rPr>
                <w:rFonts w:ascii="Arial" w:hAnsi="Arial" w:cs="Arial"/>
                <w:sz w:val="20"/>
                <w:szCs w:val="20"/>
              </w:rPr>
              <w:t>_</w:t>
            </w:r>
            <w:r w:rsidR="00862AA0" w:rsidRPr="00444BAB">
              <w:rPr>
                <w:rFonts w:ascii="Arial" w:hAnsi="Arial" w:cs="Arial"/>
                <w:sz w:val="20"/>
                <w:szCs w:val="20"/>
              </w:rPr>
              <w:t xml:space="preserve"> </w:t>
            </w:r>
            <w:r w:rsidR="00581B36" w:rsidRPr="00444BAB">
              <w:rPr>
                <w:rFonts w:ascii="Arial" w:hAnsi="Arial" w:cs="Arial"/>
                <w:sz w:val="20"/>
                <w:szCs w:val="20"/>
              </w:rPr>
              <w:t>Quarter 4 (October 1</w:t>
            </w:r>
            <w:r w:rsidR="00551D8A" w:rsidRPr="00444BAB">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444BAB" w:rsidP="00FF0AFF">
            <w:pPr>
              <w:ind w:right="-720"/>
              <w:jc w:val="center"/>
              <w:rPr>
                <w:rFonts w:ascii="Arial" w:hAnsi="Arial" w:cs="Arial"/>
                <w:b/>
                <w:sz w:val="20"/>
                <w:szCs w:val="20"/>
              </w:rPr>
            </w:pPr>
            <w:r w:rsidRPr="00444BAB">
              <w:rPr>
                <w:rFonts w:ascii="Arial" w:hAnsi="Arial" w:cs="Arial"/>
                <w:b/>
                <w:sz w:val="20"/>
                <w:szCs w:val="20"/>
              </w:rPr>
              <w:t>$1,011,768.84</w:t>
            </w:r>
          </w:p>
        </w:tc>
        <w:tc>
          <w:tcPr>
            <w:tcW w:w="3420" w:type="dxa"/>
          </w:tcPr>
          <w:p w:rsidR="00874EF7" w:rsidRPr="009C609C" w:rsidRDefault="00874EF7" w:rsidP="00551D8A">
            <w:pPr>
              <w:ind w:right="-720"/>
              <w:rPr>
                <w:rFonts w:ascii="Arial" w:hAnsi="Arial" w:cs="Arial"/>
                <w:sz w:val="20"/>
                <w:szCs w:val="20"/>
              </w:rPr>
            </w:pPr>
          </w:p>
          <w:p w:rsidR="00874EF7" w:rsidRPr="009C609C" w:rsidRDefault="00CB60CA" w:rsidP="00444BAB">
            <w:pPr>
              <w:ind w:right="-720"/>
              <w:jc w:val="center"/>
              <w:rPr>
                <w:rFonts w:ascii="Arial" w:hAnsi="Arial" w:cs="Arial"/>
                <w:b/>
                <w:sz w:val="20"/>
                <w:szCs w:val="20"/>
              </w:rPr>
            </w:pPr>
            <w:r>
              <w:rPr>
                <w:rFonts w:ascii="Arial" w:hAnsi="Arial" w:cs="Arial"/>
                <w:b/>
                <w:sz w:val="20"/>
                <w:szCs w:val="20"/>
              </w:rPr>
              <w:t>40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444BAB" w:rsidP="00444BAB">
            <w:pPr>
              <w:ind w:right="-720"/>
              <w:jc w:val="center"/>
              <w:rPr>
                <w:rFonts w:ascii="Arial" w:hAnsi="Arial" w:cs="Arial"/>
                <w:b/>
                <w:sz w:val="20"/>
                <w:szCs w:val="20"/>
              </w:rPr>
            </w:pPr>
            <w:r w:rsidRPr="00444BAB">
              <w:rPr>
                <w:rFonts w:ascii="Arial" w:hAnsi="Arial" w:cs="Arial"/>
                <w:b/>
                <w:sz w:val="20"/>
                <w:szCs w:val="20"/>
              </w:rPr>
              <w:t xml:space="preserve">$199,016.65 </w:t>
            </w:r>
            <w:r w:rsidR="009C609C">
              <w:rPr>
                <w:rFonts w:ascii="Arial" w:hAnsi="Arial" w:cs="Arial"/>
                <w:b/>
                <w:sz w:val="20"/>
                <w:szCs w:val="20"/>
              </w:rPr>
              <w:t>(</w:t>
            </w:r>
            <w:r>
              <w:rPr>
                <w:rFonts w:ascii="Arial" w:hAnsi="Arial" w:cs="Arial"/>
                <w:b/>
                <w:sz w:val="20"/>
                <w:szCs w:val="20"/>
              </w:rPr>
              <w:t>6</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444BAB" w:rsidP="00A41586">
            <w:pPr>
              <w:ind w:right="-720"/>
              <w:jc w:val="center"/>
              <w:rPr>
                <w:rFonts w:ascii="Arial" w:hAnsi="Arial" w:cs="Arial"/>
                <w:b/>
                <w:sz w:val="20"/>
                <w:szCs w:val="20"/>
              </w:rPr>
            </w:pPr>
            <w:r w:rsidRPr="00444BAB">
              <w:rPr>
                <w:rFonts w:ascii="Arial" w:hAnsi="Arial" w:cs="Arial"/>
                <w:b/>
                <w:sz w:val="20"/>
                <w:szCs w:val="20"/>
              </w:rPr>
              <w:t>$199,016.65</w:t>
            </w:r>
          </w:p>
        </w:tc>
        <w:tc>
          <w:tcPr>
            <w:tcW w:w="3420" w:type="dxa"/>
          </w:tcPr>
          <w:p w:rsidR="00970A34" w:rsidRPr="009C609C" w:rsidRDefault="00970A34" w:rsidP="00970A34">
            <w:pPr>
              <w:ind w:right="-720"/>
              <w:rPr>
                <w:rFonts w:ascii="Arial" w:hAnsi="Arial" w:cs="Arial"/>
                <w:sz w:val="20"/>
                <w:szCs w:val="20"/>
              </w:rPr>
            </w:pPr>
          </w:p>
          <w:p w:rsidR="00B66A21" w:rsidRPr="009C609C" w:rsidRDefault="00CB60CA" w:rsidP="00444BAB">
            <w:pPr>
              <w:ind w:right="-720"/>
              <w:jc w:val="center"/>
              <w:rPr>
                <w:rFonts w:ascii="Arial" w:hAnsi="Arial" w:cs="Arial"/>
                <w:sz w:val="20"/>
                <w:szCs w:val="20"/>
              </w:rPr>
            </w:pPr>
            <w:r>
              <w:rPr>
                <w:rFonts w:ascii="Arial" w:hAnsi="Arial" w:cs="Arial"/>
                <w:b/>
                <w:sz w:val="20"/>
                <w:szCs w:val="20"/>
              </w:rPr>
              <w:t>40</w:t>
            </w:r>
            <w:bookmarkStart w:id="0" w:name="_GoBack"/>
            <w:bookmarkEnd w:id="0"/>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F34608" w:rsidRPr="00F34608" w:rsidRDefault="00F34608" w:rsidP="00F34608">
            <w:pPr>
              <w:ind w:right="-18"/>
              <w:rPr>
                <w:rFonts w:ascii="Arial" w:hAnsi="Arial" w:cs="Arial"/>
                <w:sz w:val="20"/>
                <w:szCs w:val="20"/>
              </w:rPr>
            </w:pPr>
            <w:r w:rsidRPr="00F34608">
              <w:rPr>
                <w:rFonts w:ascii="Arial" w:hAnsi="Arial" w:cs="Arial"/>
                <w:sz w:val="20"/>
                <w:szCs w:val="20"/>
              </w:rPr>
              <w:t>The team is operating and has continued to produce results, moving the number of cases initiated from 175 to 203 and the number of closed cases from 78 on December 20, 2012 to 112 on March 20, 2013; 26 cases are open and 4 are pending as of March 20, 2013 compared to 42 open and 1 pending on December 20, 2012.  Cumulatively, the study has identified 143 cases that it anticipates closing and this compares favorably to the goal of 134 set for the study for the end of March, 2013.</w:t>
            </w:r>
          </w:p>
          <w:p w:rsidR="00F34608" w:rsidRPr="00F34608" w:rsidRDefault="00F34608" w:rsidP="00F34608">
            <w:pPr>
              <w:ind w:right="-18"/>
              <w:rPr>
                <w:rFonts w:ascii="Arial" w:hAnsi="Arial" w:cs="Arial"/>
                <w:sz w:val="20"/>
                <w:szCs w:val="20"/>
              </w:rPr>
            </w:pPr>
          </w:p>
          <w:p w:rsidR="00F34608" w:rsidRPr="00F34608" w:rsidRDefault="00F34608" w:rsidP="00F34608">
            <w:pPr>
              <w:ind w:right="-18"/>
              <w:rPr>
                <w:rFonts w:ascii="Arial" w:hAnsi="Arial" w:cs="Arial"/>
                <w:sz w:val="20"/>
                <w:szCs w:val="20"/>
              </w:rPr>
            </w:pPr>
            <w:r w:rsidRPr="00F34608">
              <w:rPr>
                <w:rFonts w:ascii="Arial" w:hAnsi="Arial" w:cs="Arial"/>
                <w:sz w:val="20"/>
                <w:szCs w:val="20"/>
              </w:rPr>
              <w:t>The 34 cases closed during the quarter were above the target rate of 21/quarter needed to keep the study on track.  The time to close out cases is no longer a significant concern as the 112 closed cases and 30 open/pending cases indicate that average case close out times are averaging approximately 3 months. Although, some cases are above the 3-month maximum that was used to develop the study schedule and case completion estimates/targets, which anticipate the cessation of case initiation by the end of October 2014, closing of all cases in January of 2015 and study final report delivery in March 2015.</w:t>
            </w:r>
          </w:p>
          <w:p w:rsidR="00F34608" w:rsidRPr="00F34608" w:rsidRDefault="00F34608" w:rsidP="00F34608">
            <w:pPr>
              <w:ind w:right="-18"/>
              <w:rPr>
                <w:rFonts w:ascii="Arial" w:hAnsi="Arial" w:cs="Arial"/>
                <w:sz w:val="20"/>
                <w:szCs w:val="20"/>
              </w:rPr>
            </w:pPr>
          </w:p>
          <w:p w:rsidR="00F34608" w:rsidRPr="00F34608" w:rsidRDefault="00F34608" w:rsidP="00F34608">
            <w:pPr>
              <w:ind w:right="-18"/>
              <w:rPr>
                <w:rFonts w:ascii="Arial" w:hAnsi="Arial" w:cs="Arial"/>
                <w:sz w:val="20"/>
                <w:szCs w:val="20"/>
              </w:rPr>
            </w:pPr>
            <w:r w:rsidRPr="00F34608">
              <w:rPr>
                <w:rFonts w:ascii="Arial" w:hAnsi="Arial" w:cs="Arial"/>
                <w:sz w:val="20"/>
                <w:szCs w:val="20"/>
              </w:rPr>
              <w:t xml:space="preserve">Currently, 12 of the 30 (36%) active cases have been open 3 months or longer; this is a reduction from 60% reported at the end of last quarter.  Three of the five (5) that have been open longer than 6 months were fatalities, with three others (27%, one fatality) have been open 5-6 months, three (27%, one fatal) open 4-5 months, and one (9%, a fatality) open 3-4 months.  While the factors delaying the closing of cases, such as waits for coroner and hospital reports, rider recovery from injury, are beyond study control, this represents a significant drop in open cases.   </w:t>
            </w:r>
          </w:p>
          <w:p w:rsidR="00F34608" w:rsidRPr="00F34608" w:rsidRDefault="00F34608" w:rsidP="00F34608">
            <w:pPr>
              <w:ind w:right="-18"/>
              <w:rPr>
                <w:rFonts w:ascii="Arial" w:hAnsi="Arial" w:cs="Arial"/>
                <w:sz w:val="20"/>
                <w:szCs w:val="20"/>
              </w:rPr>
            </w:pPr>
          </w:p>
          <w:p w:rsidR="00F34608" w:rsidRPr="00F34608" w:rsidRDefault="00F34608" w:rsidP="00F34608">
            <w:pPr>
              <w:ind w:right="-18"/>
              <w:rPr>
                <w:rFonts w:ascii="Arial" w:hAnsi="Arial" w:cs="Arial"/>
                <w:sz w:val="20"/>
                <w:szCs w:val="20"/>
              </w:rPr>
            </w:pPr>
            <w:r w:rsidRPr="00F34608">
              <w:rPr>
                <w:rFonts w:ascii="Arial" w:hAnsi="Arial" w:cs="Arial"/>
                <w:sz w:val="20"/>
                <w:szCs w:val="20"/>
              </w:rPr>
              <w:t>Closing of the first 100 cases was achieved by the end of the quarter and the commencement of testing of analysis procedures and software and development of preliminary analyses is anticipated to begin within the next two weeks.</w:t>
            </w:r>
          </w:p>
          <w:p w:rsidR="00F34608" w:rsidRPr="00F34608" w:rsidRDefault="00F34608" w:rsidP="00F34608">
            <w:pPr>
              <w:ind w:right="-18"/>
              <w:rPr>
                <w:rFonts w:ascii="Arial" w:hAnsi="Arial" w:cs="Arial"/>
                <w:sz w:val="20"/>
                <w:szCs w:val="20"/>
              </w:rPr>
            </w:pPr>
            <w:r w:rsidRPr="00F34608">
              <w:rPr>
                <w:rFonts w:ascii="Arial" w:hAnsi="Arial" w:cs="Arial"/>
                <w:sz w:val="20"/>
                <w:szCs w:val="20"/>
              </w:rPr>
              <w:t xml:space="preserve">The cumulative ratio of cases dropped to cases initiated (61 dropped of 203 </w:t>
            </w:r>
            <w:proofErr w:type="gramStart"/>
            <w:r w:rsidRPr="00F34608">
              <w:rPr>
                <w:rFonts w:ascii="Arial" w:hAnsi="Arial" w:cs="Arial"/>
                <w:sz w:val="20"/>
                <w:szCs w:val="20"/>
              </w:rPr>
              <w:t>initiated )</w:t>
            </w:r>
            <w:proofErr w:type="gramEnd"/>
            <w:r w:rsidRPr="00F34608">
              <w:rPr>
                <w:rFonts w:ascii="Arial" w:hAnsi="Arial" w:cs="Arial"/>
                <w:sz w:val="20"/>
                <w:szCs w:val="20"/>
              </w:rPr>
              <w:t xml:space="preserve"> has remained steady at ~ 30% of cases to date compared to the 31% reported at the end of the 4th  quarter.  </w:t>
            </w:r>
          </w:p>
          <w:p w:rsidR="00F34608" w:rsidRPr="00F34608" w:rsidRDefault="00F34608" w:rsidP="00F34608">
            <w:pPr>
              <w:ind w:right="-18"/>
              <w:rPr>
                <w:rFonts w:ascii="Arial" w:hAnsi="Arial" w:cs="Arial"/>
                <w:sz w:val="20"/>
                <w:szCs w:val="20"/>
              </w:rPr>
            </w:pPr>
          </w:p>
          <w:p w:rsidR="00ED6746" w:rsidRDefault="00F34608" w:rsidP="00F34608">
            <w:pPr>
              <w:ind w:right="-720"/>
              <w:rPr>
                <w:rFonts w:ascii="Arial" w:hAnsi="Arial" w:cs="Arial"/>
                <w:sz w:val="20"/>
                <w:szCs w:val="20"/>
              </w:rPr>
            </w:pPr>
            <w:r w:rsidRPr="00F34608">
              <w:rPr>
                <w:rFonts w:ascii="Arial" w:hAnsi="Arial" w:cs="Arial"/>
                <w:sz w:val="20"/>
                <w:szCs w:val="20"/>
              </w:rPr>
              <w:t xml:space="preserve">The changes to the study management and reporting approved and implemented in July have continued to be positive with all reports and interactions meeting or exceeding scheduled delivery dates and quality expectations. </w:t>
            </w:r>
          </w:p>
          <w:p w:rsidR="00F34608" w:rsidRDefault="00F34608" w:rsidP="00F34608">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Default="00661B44" w:rsidP="00661B44">
            <w:pPr>
              <w:ind w:right="-720"/>
              <w:rPr>
                <w:rFonts w:ascii="Arial" w:hAnsi="Arial" w:cs="Arial"/>
                <w:sz w:val="20"/>
                <w:szCs w:val="20"/>
              </w:rPr>
            </w:pPr>
          </w:p>
          <w:p w:rsidR="00661B44" w:rsidRPr="009C609C" w:rsidRDefault="00661B44" w:rsidP="00661B44">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F34608" w:rsidRPr="00F34608" w:rsidRDefault="00F34608" w:rsidP="00F34608">
            <w:pPr>
              <w:pStyle w:val="ListParagraph"/>
              <w:numPr>
                <w:ilvl w:val="0"/>
                <w:numId w:val="14"/>
              </w:numPr>
              <w:autoSpaceDE w:val="0"/>
              <w:autoSpaceDN w:val="0"/>
              <w:adjustRightInd w:val="0"/>
              <w:rPr>
                <w:rFonts w:ascii="Arial" w:hAnsi="Arial" w:cs="Arial"/>
                <w:sz w:val="20"/>
                <w:szCs w:val="20"/>
              </w:rPr>
            </w:pPr>
            <w:r w:rsidRPr="00F34608">
              <w:rPr>
                <w:rFonts w:ascii="Arial" w:hAnsi="Arial" w:cs="Arial"/>
                <w:sz w:val="20"/>
                <w:szCs w:val="20"/>
              </w:rPr>
              <w:t>Continued motorcycle crash investigations and gathering of crash causation factor data.</w:t>
            </w:r>
          </w:p>
          <w:p w:rsidR="00F34608" w:rsidRPr="00F34608" w:rsidRDefault="00F34608" w:rsidP="00F34608">
            <w:pPr>
              <w:pStyle w:val="ListParagraph"/>
              <w:numPr>
                <w:ilvl w:val="0"/>
                <w:numId w:val="14"/>
              </w:numPr>
              <w:autoSpaceDE w:val="0"/>
              <w:autoSpaceDN w:val="0"/>
              <w:adjustRightInd w:val="0"/>
              <w:rPr>
                <w:rFonts w:ascii="Arial" w:hAnsi="Arial" w:cs="Arial"/>
                <w:sz w:val="20"/>
                <w:szCs w:val="20"/>
              </w:rPr>
            </w:pPr>
            <w:r w:rsidRPr="00F34608">
              <w:rPr>
                <w:rFonts w:ascii="Arial" w:hAnsi="Arial" w:cs="Arial"/>
                <w:sz w:val="20"/>
                <w:szCs w:val="20"/>
              </w:rPr>
              <w:t>Pursuit of actions to assure and enlarge the support of law enforcement agencies in the study.  Contact with agencies to inform them of the progress of the study.</w:t>
            </w:r>
          </w:p>
          <w:p w:rsidR="00F34608" w:rsidRPr="00F34608" w:rsidRDefault="00F34608" w:rsidP="00F34608">
            <w:pPr>
              <w:pStyle w:val="ListParagraph"/>
              <w:numPr>
                <w:ilvl w:val="0"/>
                <w:numId w:val="14"/>
              </w:numPr>
              <w:autoSpaceDE w:val="0"/>
              <w:autoSpaceDN w:val="0"/>
              <w:adjustRightInd w:val="0"/>
              <w:rPr>
                <w:rFonts w:ascii="Arial" w:hAnsi="Arial" w:cs="Arial"/>
                <w:sz w:val="20"/>
                <w:szCs w:val="20"/>
              </w:rPr>
            </w:pPr>
            <w:r w:rsidRPr="00F34608">
              <w:rPr>
                <w:rFonts w:ascii="Arial" w:hAnsi="Arial" w:cs="Arial"/>
                <w:sz w:val="20"/>
                <w:szCs w:val="20"/>
              </w:rPr>
              <w:t>Monitoring of case initiation rates, completion duration, and rates of dropped cases.</w:t>
            </w:r>
          </w:p>
          <w:p w:rsidR="00F34608" w:rsidRPr="00F34608" w:rsidRDefault="00F34608" w:rsidP="00F34608">
            <w:pPr>
              <w:pStyle w:val="ListParagraph"/>
              <w:numPr>
                <w:ilvl w:val="0"/>
                <w:numId w:val="14"/>
              </w:numPr>
              <w:autoSpaceDE w:val="0"/>
              <w:autoSpaceDN w:val="0"/>
              <w:adjustRightInd w:val="0"/>
              <w:rPr>
                <w:rFonts w:ascii="Arial" w:hAnsi="Arial" w:cs="Arial"/>
                <w:sz w:val="20"/>
                <w:szCs w:val="20"/>
              </w:rPr>
            </w:pPr>
            <w:r w:rsidRPr="00F34608">
              <w:rPr>
                <w:rFonts w:ascii="Arial" w:hAnsi="Arial" w:cs="Arial"/>
                <w:sz w:val="20"/>
                <w:szCs w:val="20"/>
              </w:rPr>
              <w:t xml:space="preserve">Initiation of the statistical analysis to be performed on the first 100 completed crash investigations (OSU and </w:t>
            </w:r>
            <w:proofErr w:type="spellStart"/>
            <w:r w:rsidRPr="00F34608">
              <w:rPr>
                <w:rFonts w:ascii="Arial" w:hAnsi="Arial" w:cs="Arial"/>
                <w:sz w:val="20"/>
                <w:szCs w:val="20"/>
              </w:rPr>
              <w:t>Westat</w:t>
            </w:r>
            <w:proofErr w:type="spellEnd"/>
            <w:r w:rsidRPr="00F34608">
              <w:rPr>
                <w:rFonts w:ascii="Arial" w:hAnsi="Arial" w:cs="Arial"/>
                <w:sz w:val="20"/>
                <w:szCs w:val="20"/>
              </w:rPr>
              <w:t>).</w:t>
            </w:r>
          </w:p>
          <w:p w:rsidR="00F34608" w:rsidRPr="00F34608" w:rsidRDefault="00F34608" w:rsidP="00F34608">
            <w:pPr>
              <w:pStyle w:val="ListParagraph"/>
              <w:numPr>
                <w:ilvl w:val="0"/>
                <w:numId w:val="14"/>
              </w:numPr>
              <w:autoSpaceDE w:val="0"/>
              <w:autoSpaceDN w:val="0"/>
              <w:adjustRightInd w:val="0"/>
              <w:rPr>
                <w:rFonts w:ascii="Arial" w:hAnsi="Arial" w:cs="Arial"/>
                <w:sz w:val="20"/>
                <w:szCs w:val="20"/>
              </w:rPr>
            </w:pPr>
            <w:r w:rsidRPr="00F34608">
              <w:rPr>
                <w:rFonts w:ascii="Arial" w:hAnsi="Arial" w:cs="Arial"/>
                <w:sz w:val="20"/>
                <w:szCs w:val="20"/>
              </w:rPr>
              <w:t>Identification and initial training of another OSU students to support the study; his/her anticipated primary activity will be in support of data analysis.</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F34608">
              <w:rPr>
                <w:rFonts w:ascii="Arial" w:hAnsi="Arial" w:cs="Arial"/>
                <w:sz w:val="20"/>
                <w:szCs w:val="20"/>
              </w:rPr>
              <w:t>March 30, 2013</w:t>
            </w:r>
            <w:r w:rsidRPr="00ED6746">
              <w:rPr>
                <w:rFonts w:ascii="Arial" w:hAnsi="Arial" w:cs="Arial"/>
                <w:sz w:val="20"/>
                <w:szCs w:val="20"/>
              </w:rPr>
              <w:t xml:space="preserve">, </w:t>
            </w:r>
            <w:r w:rsidR="00F34608">
              <w:rPr>
                <w:rFonts w:ascii="Arial" w:hAnsi="Arial" w:cs="Arial"/>
                <w:sz w:val="20"/>
                <w:szCs w:val="20"/>
              </w:rPr>
              <w:t>203</w:t>
            </w:r>
            <w:r w:rsidRPr="00ED6746">
              <w:rPr>
                <w:rFonts w:ascii="Arial" w:hAnsi="Arial" w:cs="Arial"/>
                <w:sz w:val="20"/>
                <w:szCs w:val="20"/>
              </w:rPr>
              <w:t xml:space="preserve"> cases have been initiated. Of these, </w:t>
            </w:r>
            <w:r w:rsidR="00F34608">
              <w:rPr>
                <w:rFonts w:ascii="Arial" w:hAnsi="Arial" w:cs="Arial"/>
                <w:sz w:val="20"/>
                <w:szCs w:val="20"/>
              </w:rPr>
              <w:t>61</w:t>
            </w:r>
            <w:r w:rsidRPr="00ED6746">
              <w:rPr>
                <w:rFonts w:ascii="Arial" w:hAnsi="Arial" w:cs="Arial"/>
                <w:sz w:val="20"/>
                <w:szCs w:val="20"/>
              </w:rPr>
              <w:t xml:space="preserve"> cases were dropped.  </w:t>
            </w:r>
            <w:r w:rsidR="00F34608">
              <w:rPr>
                <w:rFonts w:ascii="Arial" w:hAnsi="Arial" w:cs="Arial"/>
                <w:sz w:val="20"/>
                <w:szCs w:val="20"/>
              </w:rPr>
              <w:t>112</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F34608">
              <w:rPr>
                <w:rFonts w:ascii="Arial" w:hAnsi="Arial" w:cs="Arial"/>
                <w:sz w:val="20"/>
                <w:szCs w:val="20"/>
              </w:rPr>
              <w:t>30</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F34608" w:rsidRDefault="00F34608" w:rsidP="00F34608">
            <w:pPr>
              <w:tabs>
                <w:tab w:val="left" w:pos="10440"/>
              </w:tabs>
              <w:ind w:right="72"/>
              <w:rPr>
                <w:rFonts w:ascii="Arial" w:hAnsi="Arial" w:cs="Arial"/>
                <w:sz w:val="20"/>
                <w:szCs w:val="20"/>
              </w:rPr>
            </w:pPr>
            <w:r w:rsidRPr="00F34608">
              <w:rPr>
                <w:rFonts w:ascii="Arial" w:hAnsi="Arial" w:cs="Arial"/>
                <w:sz w:val="20"/>
                <w:szCs w:val="20"/>
              </w:rPr>
              <w:t xml:space="preserve">No significant issues were identified or remain open at this time.  </w:t>
            </w:r>
          </w:p>
          <w:p w:rsidR="00F34608" w:rsidRPr="00F34608" w:rsidRDefault="00F34608" w:rsidP="00F34608">
            <w:pPr>
              <w:tabs>
                <w:tab w:val="left" w:pos="10440"/>
              </w:tabs>
              <w:ind w:right="72"/>
              <w:rPr>
                <w:rFonts w:ascii="Arial" w:hAnsi="Arial" w:cs="Arial"/>
                <w:sz w:val="20"/>
                <w:szCs w:val="20"/>
              </w:rPr>
            </w:pPr>
          </w:p>
          <w:p w:rsidR="00601EBD" w:rsidRPr="009C609C" w:rsidRDefault="00F34608" w:rsidP="00F34608">
            <w:pPr>
              <w:tabs>
                <w:tab w:val="left" w:pos="10440"/>
              </w:tabs>
              <w:ind w:right="72"/>
              <w:rPr>
                <w:rFonts w:ascii="Arial" w:hAnsi="Arial" w:cs="Arial"/>
                <w:b/>
                <w:sz w:val="20"/>
                <w:szCs w:val="20"/>
              </w:rPr>
            </w:pPr>
            <w:r w:rsidRPr="00F34608">
              <w:rPr>
                <w:rFonts w:ascii="Arial" w:hAnsi="Arial" w:cs="Arial"/>
                <w:sz w:val="20"/>
                <w:szCs w:val="20"/>
              </w:rPr>
              <w:t xml:space="preserve">The </w:t>
            </w:r>
            <w:proofErr w:type="gramStart"/>
            <w:r w:rsidRPr="00F34608">
              <w:rPr>
                <w:rFonts w:ascii="Arial" w:hAnsi="Arial" w:cs="Arial"/>
                <w:sz w:val="20"/>
                <w:szCs w:val="20"/>
              </w:rPr>
              <w:t>rate of case initiation, number of dropped cases, and time to close cases are</w:t>
            </w:r>
            <w:proofErr w:type="gramEnd"/>
            <w:r w:rsidRPr="00F34608">
              <w:rPr>
                <w:rFonts w:ascii="Arial" w:hAnsi="Arial" w:cs="Arial"/>
                <w:sz w:val="20"/>
                <w:szCs w:val="20"/>
              </w:rPr>
              <w:t xml:space="preserve"> to be monitored as, while they are at or above cumulative requirements, recent data suggests that close monitoring should be undertaken to assure that any/all required actions to improve these parameters to assure timely study completion are identified and implemented.   </w:t>
            </w: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2E" w:rsidRDefault="00BA772E" w:rsidP="00106C83">
      <w:pPr>
        <w:spacing w:after="0" w:line="240" w:lineRule="auto"/>
      </w:pPr>
      <w:r>
        <w:separator/>
      </w:r>
    </w:p>
  </w:endnote>
  <w:endnote w:type="continuationSeparator" w:id="0">
    <w:p w:rsidR="00BA772E" w:rsidRDefault="00BA77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2E" w:rsidRDefault="00BA772E" w:rsidP="00106C83">
      <w:pPr>
        <w:spacing w:after="0" w:line="240" w:lineRule="auto"/>
      </w:pPr>
      <w:r>
        <w:separator/>
      </w:r>
    </w:p>
  </w:footnote>
  <w:footnote w:type="continuationSeparator" w:id="0">
    <w:p w:rsidR="00BA772E" w:rsidRDefault="00BA772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1446D"/>
    <w:rsid w:val="00293FD8"/>
    <w:rsid w:val="002A27A6"/>
    <w:rsid w:val="002A79C8"/>
    <w:rsid w:val="002D0DB8"/>
    <w:rsid w:val="002D452A"/>
    <w:rsid w:val="00336194"/>
    <w:rsid w:val="00360C05"/>
    <w:rsid w:val="0036549C"/>
    <w:rsid w:val="0038705A"/>
    <w:rsid w:val="004144E6"/>
    <w:rsid w:val="004156B2"/>
    <w:rsid w:val="00437734"/>
    <w:rsid w:val="00444BAB"/>
    <w:rsid w:val="004E14DC"/>
    <w:rsid w:val="004E656C"/>
    <w:rsid w:val="00535598"/>
    <w:rsid w:val="00547EE3"/>
    <w:rsid w:val="00551D8A"/>
    <w:rsid w:val="00581B36"/>
    <w:rsid w:val="00583E8E"/>
    <w:rsid w:val="005B787C"/>
    <w:rsid w:val="00601EBD"/>
    <w:rsid w:val="006404A7"/>
    <w:rsid w:val="00661B44"/>
    <w:rsid w:val="00682C5E"/>
    <w:rsid w:val="006B6429"/>
    <w:rsid w:val="007151F4"/>
    <w:rsid w:val="00743C01"/>
    <w:rsid w:val="00790C4A"/>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2185C"/>
    <w:rsid w:val="00B2503A"/>
    <w:rsid w:val="00B358DC"/>
    <w:rsid w:val="00B66A21"/>
    <w:rsid w:val="00BA772E"/>
    <w:rsid w:val="00C13753"/>
    <w:rsid w:val="00C1431F"/>
    <w:rsid w:val="00C15F93"/>
    <w:rsid w:val="00CB60CA"/>
    <w:rsid w:val="00D42A15"/>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FE8D-C1FA-4FF8-B15A-FDB82702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4</cp:revision>
  <cp:lastPrinted>2011-06-21T20:32:00Z</cp:lastPrinted>
  <dcterms:created xsi:type="dcterms:W3CDTF">2013-05-02T12:49:00Z</dcterms:created>
  <dcterms:modified xsi:type="dcterms:W3CDTF">2013-05-02T12:57:00Z</dcterms:modified>
</cp:coreProperties>
</file>