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C37B0F">
            <w:pPr>
              <w:spacing w:after="0" w:line="240" w:lineRule="auto"/>
              <w:ind w:right="-108"/>
              <w:rPr>
                <w:rFonts w:ascii="Arial" w:hAnsi="Arial" w:cs="Arial"/>
                <w:b/>
                <w:sz w:val="20"/>
                <w:szCs w:val="20"/>
              </w:rPr>
            </w:pPr>
            <w:r w:rsidRPr="00360664">
              <w:rPr>
                <w:rFonts w:ascii="Arial" w:hAnsi="Arial" w:cs="Arial"/>
                <w:b/>
                <w:sz w:val="20"/>
                <w:szCs w:val="20"/>
              </w:rPr>
              <w:t>TPF-5(2</w:t>
            </w:r>
            <w:r w:rsidR="00C37B0F">
              <w:rPr>
                <w:rFonts w:ascii="Arial" w:hAnsi="Arial" w:cs="Arial"/>
                <w:b/>
                <w:sz w:val="20"/>
                <w:szCs w:val="20"/>
              </w:rPr>
              <w:t>6</w:t>
            </w:r>
            <w:r w:rsidRPr="00360664">
              <w:rPr>
                <w:rFonts w:ascii="Arial" w:hAnsi="Arial" w:cs="Arial"/>
                <w:b/>
                <w:sz w:val="20"/>
                <w:szCs w:val="20"/>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D86931" w:rsidRDefault="000C209F" w:rsidP="00360664">
            <w:pPr>
              <w:spacing w:after="0" w:line="240" w:lineRule="auto"/>
              <w:ind w:left="-108" w:right="-720"/>
              <w:rPr>
                <w:rFonts w:ascii="Arial" w:hAnsi="Arial" w:cs="Arial"/>
                <w:b/>
                <w:sz w:val="20"/>
                <w:szCs w:val="20"/>
              </w:rPr>
            </w:pPr>
            <w:r w:rsidRPr="00D86931">
              <w:rPr>
                <w:rFonts w:ascii="Arial" w:hAnsi="Arial" w:cs="Arial"/>
                <w:sz w:val="36"/>
                <w:szCs w:val="36"/>
              </w:rPr>
              <w:t xml:space="preserve"> </w:t>
            </w:r>
            <w:r w:rsidR="00D86931" w:rsidRPr="00D86931">
              <w:rPr>
                <w:rFonts w:ascii="Arial" w:hAnsi="Arial" w:cs="Arial"/>
                <w:b/>
                <w:sz w:val="36"/>
                <w:szCs w:val="36"/>
                <w:u w:val="single"/>
              </w:rPr>
              <w:t>x</w:t>
            </w:r>
            <w:r w:rsidRPr="00D86931">
              <w:rPr>
                <w:rFonts w:ascii="Arial" w:hAnsi="Arial" w:cs="Arial"/>
                <w:b/>
                <w:sz w:val="36"/>
                <w:szCs w:val="36"/>
              </w:rPr>
              <w:t xml:space="preserve"> </w:t>
            </w:r>
            <w:r w:rsidRPr="00D86931">
              <w:rPr>
                <w:rFonts w:ascii="Arial" w:hAnsi="Arial" w:cs="Arial"/>
                <w:b/>
                <w:sz w:val="20"/>
                <w:szCs w:val="20"/>
              </w:rPr>
              <w:t>Quarter 1 (January 1 – March 31</w:t>
            </w:r>
            <w:r w:rsidR="005C75FE" w:rsidRPr="00D86931">
              <w:rPr>
                <w:rFonts w:ascii="Arial" w:hAnsi="Arial" w:cs="Arial"/>
                <w:b/>
                <w:sz w:val="20"/>
                <w:szCs w:val="20"/>
              </w:rPr>
              <w:t>, 201</w:t>
            </w:r>
            <w:r w:rsidR="00D86931" w:rsidRPr="00D86931">
              <w:rPr>
                <w:rFonts w:ascii="Arial" w:hAnsi="Arial" w:cs="Arial"/>
                <w:b/>
                <w:sz w:val="20"/>
                <w:szCs w:val="20"/>
              </w:rPr>
              <w:t>3</w:t>
            </w:r>
            <w:r w:rsidRPr="00D86931">
              <w:rPr>
                <w:rFonts w:ascii="Arial" w:hAnsi="Arial" w:cs="Arial"/>
                <w:b/>
                <w:sz w:val="20"/>
                <w:szCs w:val="20"/>
              </w:rPr>
              <w:t>)</w:t>
            </w:r>
          </w:p>
          <w:p w:rsidR="000C209F" w:rsidRPr="00D86931" w:rsidRDefault="000C209F" w:rsidP="00360664">
            <w:pPr>
              <w:spacing w:after="0" w:line="240" w:lineRule="auto"/>
              <w:ind w:left="-108" w:right="-108"/>
              <w:rPr>
                <w:rFonts w:ascii="Arial" w:hAnsi="Arial" w:cs="Arial"/>
                <w:sz w:val="20"/>
                <w:szCs w:val="20"/>
              </w:rPr>
            </w:pPr>
            <w:r w:rsidRPr="00D86931">
              <w:rPr>
                <w:rFonts w:ascii="Arial" w:hAnsi="Arial" w:cs="Arial"/>
                <w:sz w:val="36"/>
                <w:szCs w:val="36"/>
              </w:rPr>
              <w:t xml:space="preserve"> </w:t>
            </w:r>
            <w:r w:rsidR="001A1AE4" w:rsidRPr="00D86931">
              <w:rPr>
                <w:rFonts w:ascii="Arial" w:hAnsi="Arial" w:cs="Arial"/>
                <w:sz w:val="36"/>
                <w:szCs w:val="36"/>
                <w:u w:val="single"/>
              </w:rPr>
              <w:t>_</w:t>
            </w:r>
            <w:r w:rsidRPr="00D86931">
              <w:rPr>
                <w:rFonts w:ascii="Arial" w:hAnsi="Arial" w:cs="Arial"/>
                <w:sz w:val="36"/>
                <w:szCs w:val="36"/>
              </w:rPr>
              <w:t xml:space="preserve"> </w:t>
            </w:r>
            <w:r w:rsidRPr="00D86931">
              <w:rPr>
                <w:rFonts w:ascii="Arial" w:hAnsi="Arial" w:cs="Arial"/>
                <w:sz w:val="20"/>
                <w:szCs w:val="20"/>
              </w:rPr>
              <w:t>Quarter 2 (April 1 – June 30</w:t>
            </w:r>
            <w:r w:rsidR="0020693E" w:rsidRPr="00D86931">
              <w:rPr>
                <w:rFonts w:ascii="Arial" w:hAnsi="Arial" w:cs="Arial"/>
                <w:sz w:val="20"/>
                <w:szCs w:val="20"/>
              </w:rPr>
              <w:t>, 201</w:t>
            </w:r>
            <w:r w:rsidR="00D86931">
              <w:rPr>
                <w:rFonts w:ascii="Arial" w:hAnsi="Arial" w:cs="Arial"/>
                <w:sz w:val="20"/>
                <w:szCs w:val="20"/>
              </w:rPr>
              <w:t>3</w:t>
            </w:r>
            <w:r w:rsidRPr="00D86931">
              <w:rPr>
                <w:rFonts w:ascii="Arial" w:hAnsi="Arial" w:cs="Arial"/>
                <w:sz w:val="20"/>
                <w:szCs w:val="20"/>
              </w:rPr>
              <w:t>)</w:t>
            </w:r>
          </w:p>
          <w:p w:rsidR="000C209F" w:rsidRPr="00D86931" w:rsidRDefault="00F977B4" w:rsidP="00360664">
            <w:pPr>
              <w:spacing w:after="0" w:line="240" w:lineRule="auto"/>
              <w:ind w:right="-720"/>
              <w:rPr>
                <w:rFonts w:ascii="Arial" w:hAnsi="Arial" w:cs="Arial"/>
                <w:sz w:val="20"/>
                <w:szCs w:val="20"/>
              </w:rPr>
            </w:pPr>
            <w:r w:rsidRPr="00D86931">
              <w:rPr>
                <w:rFonts w:ascii="Arial" w:hAnsi="Arial" w:cs="Arial"/>
                <w:sz w:val="36"/>
                <w:szCs w:val="36"/>
                <w:u w:val="single"/>
              </w:rPr>
              <w:t>_</w:t>
            </w:r>
            <w:r w:rsidRPr="00D86931">
              <w:rPr>
                <w:rFonts w:ascii="Arial" w:hAnsi="Arial" w:cs="Arial"/>
                <w:sz w:val="36"/>
                <w:szCs w:val="36"/>
              </w:rPr>
              <w:t xml:space="preserve"> </w:t>
            </w:r>
            <w:r w:rsidR="000C209F" w:rsidRPr="00D86931">
              <w:rPr>
                <w:rFonts w:ascii="Arial" w:hAnsi="Arial" w:cs="Arial"/>
                <w:sz w:val="20"/>
                <w:szCs w:val="20"/>
              </w:rPr>
              <w:t>Quarter 3 (July 1 – September 30</w:t>
            </w:r>
            <w:r w:rsidR="0020693E" w:rsidRPr="00D86931">
              <w:rPr>
                <w:rFonts w:ascii="Arial" w:hAnsi="Arial" w:cs="Arial"/>
                <w:sz w:val="20"/>
                <w:szCs w:val="20"/>
              </w:rPr>
              <w:t>, 201</w:t>
            </w:r>
            <w:r w:rsidR="00D86931">
              <w:rPr>
                <w:rFonts w:ascii="Arial" w:hAnsi="Arial" w:cs="Arial"/>
                <w:sz w:val="20"/>
                <w:szCs w:val="20"/>
              </w:rPr>
              <w:t>3</w:t>
            </w:r>
            <w:r w:rsidR="000C209F" w:rsidRPr="00D86931">
              <w:rPr>
                <w:rFonts w:ascii="Arial" w:hAnsi="Arial" w:cs="Arial"/>
                <w:sz w:val="20"/>
                <w:szCs w:val="20"/>
              </w:rPr>
              <w:t>)</w:t>
            </w:r>
          </w:p>
          <w:p w:rsidR="000C209F" w:rsidRPr="00B01C66" w:rsidRDefault="00D86931" w:rsidP="00D86931">
            <w:pPr>
              <w:spacing w:after="0" w:line="240" w:lineRule="auto"/>
              <w:ind w:right="-720"/>
              <w:rPr>
                <w:rFonts w:ascii="Arial" w:hAnsi="Arial" w:cs="Arial"/>
                <w:b/>
                <w:sz w:val="20"/>
                <w:szCs w:val="20"/>
              </w:rPr>
            </w:pPr>
            <w:r w:rsidRPr="00D86931">
              <w:rPr>
                <w:rFonts w:ascii="Arial" w:hAnsi="Arial" w:cs="Arial"/>
                <w:sz w:val="36"/>
                <w:szCs w:val="36"/>
                <w:u w:val="single"/>
              </w:rPr>
              <w:t>_</w:t>
            </w:r>
            <w:r w:rsidRPr="00D86931">
              <w:rPr>
                <w:rFonts w:ascii="Arial" w:hAnsi="Arial" w:cs="Arial"/>
                <w:sz w:val="36"/>
                <w:szCs w:val="36"/>
              </w:rPr>
              <w:t xml:space="preserve"> </w:t>
            </w:r>
            <w:r w:rsidR="000C209F" w:rsidRPr="00D86931">
              <w:rPr>
                <w:rFonts w:ascii="Arial" w:hAnsi="Arial" w:cs="Arial"/>
                <w:sz w:val="20"/>
                <w:szCs w:val="20"/>
              </w:rPr>
              <w:t xml:space="preserve">Quarter </w:t>
            </w:r>
            <w:r w:rsidR="005C75FE" w:rsidRPr="00D86931">
              <w:rPr>
                <w:rFonts w:ascii="Arial" w:hAnsi="Arial" w:cs="Arial"/>
                <w:sz w:val="20"/>
                <w:szCs w:val="20"/>
              </w:rPr>
              <w:t>4 (October 1 – December 31</w:t>
            </w:r>
            <w:r w:rsidR="0020693E" w:rsidRPr="00D86931">
              <w:rPr>
                <w:rFonts w:ascii="Arial" w:hAnsi="Arial" w:cs="Arial"/>
                <w:sz w:val="20"/>
                <w:szCs w:val="20"/>
              </w:rPr>
              <w:t>, 201</w:t>
            </w:r>
            <w:r>
              <w:rPr>
                <w:rFonts w:ascii="Arial" w:hAnsi="Arial" w:cs="Arial"/>
                <w:sz w:val="20"/>
                <w:szCs w:val="20"/>
              </w:rPr>
              <w:t>3</w:t>
            </w:r>
            <w:r w:rsidR="000C209F" w:rsidRPr="00D86931">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8E7C40">
              <w:rPr>
                <w:rFonts w:ascii="Arial" w:hAnsi="Arial" w:cs="Arial"/>
                <w:sz w:val="20"/>
                <w:szCs w:val="20"/>
              </w:rPr>
              <w:t>5H06</w:t>
            </w:r>
            <w:r w:rsidR="00FD7A44">
              <w:rPr>
                <w:rFonts w:ascii="Arial" w:hAnsi="Arial" w:cs="Arial"/>
                <w:sz w:val="20"/>
                <w:szCs w:val="20"/>
              </w:rPr>
              <w:t>8</w:t>
            </w:r>
            <w:r w:rsidR="001C453E" w:rsidRPr="008E7C40">
              <w:rPr>
                <w:rFonts w:ascii="Arial" w:hAnsi="Arial" w:cs="Arial"/>
                <w:sz w:val="20"/>
                <w:szCs w:val="20"/>
              </w:rPr>
              <w:t>52</w:t>
            </w:r>
            <w:r w:rsidRPr="008E7C40">
              <w:rPr>
                <w:rFonts w:ascii="Arial" w:hAnsi="Arial" w:cs="Arial"/>
                <w:sz w:val="20"/>
                <w:szCs w:val="20"/>
              </w:rPr>
              <w:t>H, 420</w:t>
            </w:r>
            <w:r w:rsidR="008E7C40" w:rsidRPr="008E7C40">
              <w:rPr>
                <w:rFonts w:ascii="Arial" w:hAnsi="Arial" w:cs="Arial"/>
                <w:sz w:val="20"/>
                <w:szCs w:val="20"/>
              </w:rPr>
              <w:t>51</w:t>
            </w:r>
            <w:r w:rsidRPr="008E7C40">
              <w:rPr>
                <w:rFonts w:ascii="Arial" w:hAnsi="Arial" w:cs="Arial"/>
                <w:sz w:val="20"/>
                <w:szCs w:val="20"/>
              </w:rPr>
              <w:t xml:space="preserve">, </w:t>
            </w:r>
            <w:proofErr w:type="spellStart"/>
            <w:r w:rsidRPr="008E7C40">
              <w:rPr>
                <w:rFonts w:ascii="Arial" w:hAnsi="Arial" w:cs="Arial"/>
                <w:sz w:val="20"/>
                <w:szCs w:val="20"/>
              </w:rPr>
              <w:t>ePM</w:t>
            </w:r>
            <w:proofErr w:type="spellEnd"/>
            <w:r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FD7A44">
              <w:rPr>
                <w:rFonts w:ascii="Arial" w:hAnsi="Arial" w:cs="Arial"/>
                <w:sz w:val="20"/>
                <w:szCs w:val="20"/>
              </w:rPr>
              <w:t>13-8123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September 30, 2014</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957A2D">
            <w:pPr>
              <w:spacing w:after="0" w:line="240" w:lineRule="auto"/>
              <w:ind w:right="-108"/>
              <w:jc w:val="center"/>
              <w:rPr>
                <w:rFonts w:ascii="Arial" w:hAnsi="Arial" w:cs="Arial"/>
                <w:sz w:val="20"/>
                <w:szCs w:val="20"/>
              </w:rPr>
            </w:pPr>
            <w:r w:rsidRPr="00360664">
              <w:rPr>
                <w:rFonts w:ascii="Arial" w:hAnsi="Arial" w:cs="Arial"/>
                <w:sz w:val="20"/>
                <w:szCs w:val="20"/>
              </w:rPr>
              <w:t>$1</w:t>
            </w:r>
            <w:r w:rsidR="00957A2D">
              <w:rPr>
                <w:rFonts w:ascii="Arial" w:hAnsi="Arial" w:cs="Arial"/>
                <w:sz w:val="20"/>
                <w:szCs w:val="20"/>
              </w:rPr>
              <w:t>5</w:t>
            </w:r>
            <w:r w:rsidR="00244A9E">
              <w:rPr>
                <w:rFonts w:ascii="Arial" w:hAnsi="Arial" w:cs="Arial"/>
                <w:sz w:val="20"/>
                <w:szCs w:val="20"/>
              </w:rPr>
              <w:t>0</w:t>
            </w:r>
            <w:r w:rsidRPr="00360664">
              <w:rPr>
                <w:rFonts w:ascii="Arial" w:hAnsi="Arial" w:cs="Arial"/>
                <w:sz w:val="20"/>
                <w:szCs w:val="20"/>
              </w:rPr>
              <w:t>,000.00</w:t>
            </w:r>
          </w:p>
        </w:tc>
        <w:tc>
          <w:tcPr>
            <w:tcW w:w="3330" w:type="dxa"/>
            <w:vAlign w:val="center"/>
          </w:tcPr>
          <w:p w:rsidR="000C209F" w:rsidRPr="00360664" w:rsidRDefault="000C209F" w:rsidP="00B01C66">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14283">
              <w:rPr>
                <w:rFonts w:ascii="Arial" w:hAnsi="Arial" w:cs="Arial"/>
                <w:sz w:val="20"/>
                <w:szCs w:val="20"/>
              </w:rPr>
              <w:t>70</w:t>
            </w:r>
            <w:r w:rsidR="007A7B03">
              <w:rPr>
                <w:rFonts w:ascii="Arial" w:hAnsi="Arial" w:cs="Arial"/>
                <w:sz w:val="20"/>
                <w:szCs w:val="20"/>
              </w:rPr>
              <w:t>,000.00</w:t>
            </w:r>
          </w:p>
        </w:tc>
        <w:tc>
          <w:tcPr>
            <w:tcW w:w="3420" w:type="dxa"/>
            <w:vAlign w:val="center"/>
          </w:tcPr>
          <w:p w:rsidR="000C209F" w:rsidRPr="00360664" w:rsidRDefault="00F17B3D" w:rsidP="00360664">
            <w:pPr>
              <w:spacing w:after="0" w:line="240" w:lineRule="auto"/>
              <w:ind w:left="-108" w:right="-108"/>
              <w:jc w:val="center"/>
              <w:rPr>
                <w:rFonts w:ascii="Arial" w:hAnsi="Arial" w:cs="Arial"/>
                <w:sz w:val="20"/>
                <w:szCs w:val="20"/>
              </w:rPr>
            </w:pPr>
            <w:r>
              <w:rPr>
                <w:rFonts w:ascii="Arial" w:hAnsi="Arial" w:cs="Arial"/>
                <w:sz w:val="20"/>
                <w:szCs w:val="20"/>
              </w:rPr>
              <w:t>50</w:t>
            </w:r>
            <w:r w:rsidR="007A7559">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7A7559" w:rsidP="00360664">
            <w:pPr>
              <w:spacing w:after="0" w:line="240" w:lineRule="auto"/>
              <w:ind w:right="-108"/>
              <w:jc w:val="center"/>
              <w:rPr>
                <w:rFonts w:ascii="Arial" w:hAnsi="Arial" w:cs="Arial"/>
                <w:sz w:val="20"/>
                <w:szCs w:val="20"/>
              </w:rPr>
            </w:pPr>
            <w:r w:rsidRPr="00360664">
              <w:rPr>
                <w:rFonts w:ascii="Arial" w:hAnsi="Arial" w:cs="Arial"/>
                <w:sz w:val="20"/>
                <w:szCs w:val="20"/>
              </w:rPr>
              <w:t>$</w:t>
            </w:r>
            <w:r>
              <w:rPr>
                <w:rFonts w:ascii="Arial" w:hAnsi="Arial" w:cs="Arial"/>
                <w:sz w:val="20"/>
                <w:szCs w:val="20"/>
              </w:rPr>
              <w:t>35,000.00, 23%</w:t>
            </w:r>
          </w:p>
        </w:tc>
        <w:tc>
          <w:tcPr>
            <w:tcW w:w="3330" w:type="dxa"/>
          </w:tcPr>
          <w:p w:rsidR="000C209F" w:rsidRPr="00360664" w:rsidRDefault="000C209F" w:rsidP="00B01C66">
            <w:pPr>
              <w:spacing w:after="0" w:line="240" w:lineRule="auto"/>
              <w:ind w:right="-108"/>
              <w:jc w:val="center"/>
              <w:rPr>
                <w:rFonts w:ascii="Arial" w:hAnsi="Arial" w:cs="Arial"/>
                <w:sz w:val="20"/>
                <w:szCs w:val="20"/>
              </w:rPr>
            </w:pPr>
            <w:r w:rsidRPr="00360664">
              <w:rPr>
                <w:rFonts w:ascii="Arial" w:hAnsi="Arial" w:cs="Arial"/>
                <w:sz w:val="20"/>
                <w:szCs w:val="20"/>
              </w:rPr>
              <w:t>$</w:t>
            </w:r>
            <w:r w:rsidR="009454DC">
              <w:rPr>
                <w:rFonts w:ascii="Arial" w:hAnsi="Arial" w:cs="Arial"/>
                <w:sz w:val="20"/>
                <w:szCs w:val="20"/>
              </w:rPr>
              <w:t>35,000.00</w:t>
            </w:r>
          </w:p>
        </w:tc>
        <w:tc>
          <w:tcPr>
            <w:tcW w:w="3420" w:type="dxa"/>
          </w:tcPr>
          <w:p w:rsidR="000C209F" w:rsidRPr="00360664" w:rsidRDefault="007B1FD0" w:rsidP="00360664">
            <w:pPr>
              <w:spacing w:after="0" w:line="240" w:lineRule="auto"/>
              <w:ind w:left="-108" w:right="-108"/>
              <w:jc w:val="center"/>
              <w:rPr>
                <w:rFonts w:ascii="Arial" w:hAnsi="Arial" w:cs="Arial"/>
                <w:sz w:val="20"/>
                <w:szCs w:val="20"/>
              </w:rPr>
            </w:pPr>
            <w:r>
              <w:rPr>
                <w:rFonts w:ascii="Arial" w:hAnsi="Arial" w:cs="Arial"/>
                <w:sz w:val="20"/>
                <w:szCs w:val="20"/>
              </w:rPr>
              <w:t>28</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48775B">
              <w:rPr>
                <w:rFonts w:ascii="Arial" w:hAnsi="Arial" w:cs="Arial"/>
                <w:sz w:val="20"/>
                <w:szCs w:val="20"/>
              </w:rPr>
              <w:t>six</w:t>
            </w:r>
            <w:r w:rsidRPr="00360664">
              <w:rPr>
                <w:rFonts w:ascii="Arial" w:hAnsi="Arial" w:cs="Arial"/>
                <w:sz w:val="20"/>
                <w:szCs w:val="20"/>
              </w:rPr>
              <w:t xml:space="preserve"> specific </w:t>
            </w:r>
            <w:r w:rsidRPr="004A6232">
              <w:rPr>
                <w:rFonts w:ascii="Arial" w:hAnsi="Arial" w:cs="Arial"/>
                <w:sz w:val="20"/>
                <w:szCs w:val="20"/>
                <w:u w:val="single"/>
              </w:rPr>
              <w:t>tasks</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Laboratory Passive Force-Deflection Tests on 2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and 30º</w:t>
            </w:r>
            <w:r w:rsidR="008B4FDA">
              <w:rPr>
                <w:rFonts w:ascii="Arial" w:hAnsi="Arial" w:cs="Arial"/>
                <w:sz w:val="20"/>
                <w:szCs w:val="20"/>
              </w:rPr>
              <w:t xml:space="preserve"> and Transverse </w:t>
            </w:r>
            <w:proofErr w:type="spellStart"/>
            <w:r w:rsidR="008B4FD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Abutment with Skew angles of 0º, 15º, 30º and MSE </w:t>
            </w:r>
            <w:proofErr w:type="spellStart"/>
            <w:r w:rsidRPr="00B05A7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P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Up to two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C912D3">
              <w:rPr>
                <w:rFonts w:ascii="Arial" w:hAnsi="Arial" w:cs="Arial"/>
                <w:sz w:val="20"/>
                <w:szCs w:val="20"/>
              </w:rPr>
              <w:t xml:space="preserve">are planned </w:t>
            </w:r>
            <w:r w:rsidR="00EA066E">
              <w:rPr>
                <w:rFonts w:ascii="Arial" w:hAnsi="Arial" w:cs="Arial"/>
                <w:sz w:val="20"/>
                <w:szCs w:val="20"/>
              </w:rPr>
              <w:t xml:space="preserve">to be 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 xml:space="preserve">meetings will be </w:t>
            </w:r>
            <w:proofErr w:type="spellStart"/>
            <w:r w:rsidR="002E1C50">
              <w:rPr>
                <w:rFonts w:ascii="Arial" w:hAnsi="Arial" w:cs="Arial"/>
                <w:sz w:val="20"/>
                <w:szCs w:val="20"/>
              </w:rPr>
              <w:t>tele</w:t>
            </w:r>
            <w:proofErr w:type="spellEnd"/>
            <w:r w:rsidR="002E1C50">
              <w:rPr>
                <w:rFonts w:ascii="Arial" w:hAnsi="Arial" w:cs="Arial"/>
                <w:sz w:val="20"/>
                <w:szCs w:val="20"/>
              </w:rPr>
              <w:t>-conference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CF1F0B" w:rsidRDefault="000B07E1" w:rsidP="00703AB4">
            <w:pPr>
              <w:spacing w:after="0" w:line="240" w:lineRule="auto"/>
              <w:rPr>
                <w:rFonts w:ascii="Arial" w:hAnsi="Arial" w:cs="Arial"/>
                <w:sz w:val="20"/>
                <w:szCs w:val="20"/>
              </w:rPr>
            </w:pPr>
            <w:r>
              <w:rPr>
                <w:rFonts w:ascii="Arial" w:hAnsi="Arial" w:cs="Arial"/>
                <w:sz w:val="20"/>
                <w:szCs w:val="20"/>
              </w:rPr>
              <w:t>Dr. Rollins of BYU and his student presented results of the research in a technical session at the 2013 TRB Annual Meeting in January.</w:t>
            </w:r>
          </w:p>
          <w:p w:rsidR="00CF1F0B" w:rsidRDefault="00CF1F0B" w:rsidP="00703AB4">
            <w:pPr>
              <w:spacing w:after="0" w:line="240" w:lineRule="auto"/>
              <w:rPr>
                <w:rFonts w:ascii="Arial" w:hAnsi="Arial" w:cs="Arial"/>
                <w:sz w:val="20"/>
                <w:szCs w:val="20"/>
              </w:rPr>
            </w:pPr>
          </w:p>
          <w:p w:rsidR="009B7B23" w:rsidRDefault="00E93241" w:rsidP="00703AB4">
            <w:pPr>
              <w:spacing w:after="0" w:line="240" w:lineRule="auto"/>
              <w:rPr>
                <w:rFonts w:ascii="Arial" w:hAnsi="Arial" w:cs="Arial"/>
                <w:sz w:val="20"/>
                <w:szCs w:val="20"/>
              </w:rPr>
            </w:pPr>
            <w:r>
              <w:rPr>
                <w:rFonts w:ascii="Arial" w:hAnsi="Arial" w:cs="Arial"/>
                <w:sz w:val="20"/>
                <w:szCs w:val="20"/>
              </w:rPr>
              <w:t xml:space="preserve">A TAC meeting was held in Salt Lake City </w:t>
            </w:r>
            <w:r w:rsidR="006D08E2">
              <w:rPr>
                <w:rFonts w:ascii="Arial" w:hAnsi="Arial" w:cs="Arial"/>
                <w:sz w:val="20"/>
                <w:szCs w:val="20"/>
              </w:rPr>
              <w:t>o</w:t>
            </w:r>
            <w:r>
              <w:rPr>
                <w:rFonts w:ascii="Arial" w:hAnsi="Arial" w:cs="Arial"/>
                <w:sz w:val="20"/>
                <w:szCs w:val="20"/>
              </w:rPr>
              <w:t xml:space="preserve">n February </w:t>
            </w:r>
            <w:r w:rsidR="006D08E2">
              <w:rPr>
                <w:rFonts w:ascii="Arial" w:hAnsi="Arial" w:cs="Arial"/>
                <w:sz w:val="20"/>
                <w:szCs w:val="20"/>
              </w:rPr>
              <w:t xml:space="preserve">7, </w:t>
            </w:r>
            <w:r>
              <w:rPr>
                <w:rFonts w:ascii="Arial" w:hAnsi="Arial" w:cs="Arial"/>
                <w:sz w:val="20"/>
                <w:szCs w:val="20"/>
              </w:rPr>
              <w:t xml:space="preserve">2013, </w:t>
            </w:r>
            <w:r w:rsidR="006D08E2">
              <w:rPr>
                <w:rFonts w:ascii="Arial" w:hAnsi="Arial" w:cs="Arial"/>
                <w:sz w:val="20"/>
                <w:szCs w:val="20"/>
              </w:rPr>
              <w:t xml:space="preserve">and was </w:t>
            </w:r>
            <w:r>
              <w:rPr>
                <w:rFonts w:ascii="Arial" w:hAnsi="Arial" w:cs="Arial"/>
                <w:sz w:val="20"/>
                <w:szCs w:val="20"/>
              </w:rPr>
              <w:t xml:space="preserve">attended by most TAC members in person and by </w:t>
            </w:r>
            <w:r w:rsidR="00857904">
              <w:rPr>
                <w:rFonts w:ascii="Arial" w:hAnsi="Arial" w:cs="Arial"/>
                <w:sz w:val="20"/>
                <w:szCs w:val="20"/>
              </w:rPr>
              <w:t>others</w:t>
            </w:r>
            <w:r>
              <w:rPr>
                <w:rFonts w:ascii="Arial" w:hAnsi="Arial" w:cs="Arial"/>
                <w:sz w:val="20"/>
                <w:szCs w:val="20"/>
              </w:rPr>
              <w:t xml:space="preserve"> via web conference.  </w:t>
            </w:r>
            <w:r w:rsidR="00C71194">
              <w:rPr>
                <w:rFonts w:ascii="Arial" w:hAnsi="Arial" w:cs="Arial"/>
                <w:sz w:val="20"/>
                <w:szCs w:val="20"/>
              </w:rPr>
              <w:t>Dr. Rollins</w:t>
            </w:r>
            <w:r w:rsidR="00937FFC">
              <w:rPr>
                <w:rFonts w:ascii="Arial" w:hAnsi="Arial" w:cs="Arial"/>
                <w:sz w:val="20"/>
                <w:szCs w:val="20"/>
              </w:rPr>
              <w:t xml:space="preserve"> </w:t>
            </w:r>
            <w:r w:rsidR="00C71194">
              <w:rPr>
                <w:rFonts w:ascii="Arial" w:hAnsi="Arial" w:cs="Arial"/>
                <w:sz w:val="20"/>
                <w:szCs w:val="20"/>
              </w:rPr>
              <w:t xml:space="preserve">used computer presentations and group discussion to </w:t>
            </w:r>
            <w:r w:rsidR="00931ED8">
              <w:rPr>
                <w:rFonts w:ascii="Arial" w:hAnsi="Arial" w:cs="Arial"/>
                <w:sz w:val="20"/>
                <w:szCs w:val="20"/>
              </w:rPr>
              <w:t xml:space="preserve">share results to date from Tasks 1 through 4 and to outline additions to the </w:t>
            </w:r>
            <w:r w:rsidR="00703AB4">
              <w:rPr>
                <w:rFonts w:ascii="Arial" w:hAnsi="Arial" w:cs="Arial"/>
                <w:sz w:val="20"/>
                <w:szCs w:val="20"/>
              </w:rPr>
              <w:t xml:space="preserve">project scope based on </w:t>
            </w:r>
            <w:r w:rsidR="00931ED8">
              <w:rPr>
                <w:rFonts w:ascii="Arial" w:hAnsi="Arial" w:cs="Arial"/>
                <w:sz w:val="20"/>
                <w:szCs w:val="20"/>
              </w:rPr>
              <w:t xml:space="preserve">requests from TAC members and </w:t>
            </w:r>
            <w:r w:rsidR="00703AB4">
              <w:rPr>
                <w:rFonts w:ascii="Arial" w:hAnsi="Arial" w:cs="Arial"/>
                <w:sz w:val="20"/>
                <w:szCs w:val="20"/>
              </w:rPr>
              <w:t>available funding</w:t>
            </w:r>
            <w:r w:rsidR="00931ED8">
              <w:rPr>
                <w:rFonts w:ascii="Arial" w:hAnsi="Arial" w:cs="Arial"/>
                <w:sz w:val="20"/>
                <w:szCs w:val="20"/>
              </w:rPr>
              <w:t>.  P</w:t>
            </w:r>
            <w:r w:rsidR="00703AB4">
              <w:rPr>
                <w:rFonts w:ascii="Arial" w:hAnsi="Arial" w:cs="Arial"/>
                <w:sz w:val="20"/>
                <w:szCs w:val="20"/>
              </w:rPr>
              <w:t>referred</w:t>
            </w:r>
            <w:r w:rsidR="00931ED8">
              <w:rPr>
                <w:rFonts w:ascii="Arial" w:hAnsi="Arial" w:cs="Arial"/>
                <w:sz w:val="20"/>
                <w:szCs w:val="20"/>
              </w:rPr>
              <w:t xml:space="preserve"> additions to the project include</w:t>
            </w:r>
            <w:r w:rsidR="00B322A6">
              <w:rPr>
                <w:rFonts w:ascii="Arial" w:hAnsi="Arial" w:cs="Arial"/>
                <w:sz w:val="20"/>
                <w:szCs w:val="20"/>
              </w:rPr>
              <w:t>d</w:t>
            </w:r>
            <w:r w:rsidR="00931ED8">
              <w:rPr>
                <w:rFonts w:ascii="Arial" w:hAnsi="Arial" w:cs="Arial"/>
                <w:sz w:val="20"/>
                <w:szCs w:val="20"/>
              </w:rPr>
              <w:t xml:space="preserve"> </w:t>
            </w:r>
            <w:r w:rsidR="00587D33">
              <w:rPr>
                <w:rFonts w:ascii="Arial" w:hAnsi="Arial" w:cs="Arial"/>
                <w:sz w:val="20"/>
                <w:szCs w:val="20"/>
              </w:rPr>
              <w:t xml:space="preserve">field tests using </w:t>
            </w:r>
            <w:r w:rsidR="00587D33" w:rsidRPr="00587D33">
              <w:rPr>
                <w:rFonts w:ascii="Arial" w:hAnsi="Arial" w:cs="Arial"/>
                <w:sz w:val="20"/>
                <w:szCs w:val="20"/>
              </w:rPr>
              <w:t xml:space="preserve">45º </w:t>
            </w:r>
            <w:r w:rsidR="000868D6">
              <w:rPr>
                <w:rFonts w:ascii="Arial" w:hAnsi="Arial" w:cs="Arial"/>
                <w:sz w:val="20"/>
                <w:szCs w:val="20"/>
              </w:rPr>
              <w:t xml:space="preserve">abutment </w:t>
            </w:r>
            <w:r w:rsidR="00587D33">
              <w:rPr>
                <w:rFonts w:ascii="Arial" w:hAnsi="Arial" w:cs="Arial"/>
                <w:sz w:val="20"/>
                <w:szCs w:val="20"/>
              </w:rPr>
              <w:t>s</w:t>
            </w:r>
            <w:r w:rsidR="00587D33" w:rsidRPr="00587D33">
              <w:rPr>
                <w:rFonts w:ascii="Arial" w:hAnsi="Arial" w:cs="Arial"/>
                <w:sz w:val="20"/>
                <w:szCs w:val="20"/>
              </w:rPr>
              <w:t>kew</w:t>
            </w:r>
            <w:r w:rsidR="00587D33">
              <w:rPr>
                <w:rFonts w:ascii="Arial" w:hAnsi="Arial" w:cs="Arial"/>
                <w:sz w:val="20"/>
                <w:szCs w:val="20"/>
              </w:rPr>
              <w:t>,</w:t>
            </w:r>
            <w:r w:rsidR="000868D6">
              <w:rPr>
                <w:rFonts w:ascii="Arial" w:hAnsi="Arial" w:cs="Arial"/>
                <w:sz w:val="20"/>
                <w:szCs w:val="20"/>
              </w:rPr>
              <w:t xml:space="preserve"> </w:t>
            </w:r>
            <w:proofErr w:type="spellStart"/>
            <w:r w:rsidR="000868D6">
              <w:rPr>
                <w:rFonts w:ascii="Arial" w:hAnsi="Arial" w:cs="Arial"/>
                <w:sz w:val="20"/>
                <w:szCs w:val="20"/>
              </w:rPr>
              <w:t>Geosynthetic</w:t>
            </w:r>
            <w:proofErr w:type="spellEnd"/>
            <w:r w:rsidR="000868D6">
              <w:rPr>
                <w:rFonts w:ascii="Arial" w:hAnsi="Arial" w:cs="Arial"/>
                <w:sz w:val="20"/>
                <w:szCs w:val="20"/>
              </w:rPr>
              <w:t xml:space="preserve"> Reinforced Soil (GRS) abutment, concrete </w:t>
            </w:r>
            <w:proofErr w:type="spellStart"/>
            <w:r w:rsidR="000868D6">
              <w:rPr>
                <w:rFonts w:ascii="Arial" w:hAnsi="Arial" w:cs="Arial"/>
                <w:sz w:val="20"/>
                <w:szCs w:val="20"/>
              </w:rPr>
              <w:t>wingwalls</w:t>
            </w:r>
            <w:proofErr w:type="spellEnd"/>
            <w:r w:rsidR="000868D6">
              <w:rPr>
                <w:rFonts w:ascii="Arial" w:hAnsi="Arial" w:cs="Arial"/>
                <w:sz w:val="20"/>
                <w:szCs w:val="20"/>
              </w:rPr>
              <w:t>, and</w:t>
            </w:r>
            <w:r w:rsidR="00640822">
              <w:rPr>
                <w:rFonts w:ascii="Arial" w:hAnsi="Arial" w:cs="Arial"/>
                <w:sz w:val="20"/>
                <w:szCs w:val="20"/>
              </w:rPr>
              <w:t>/or</w:t>
            </w:r>
            <w:r w:rsidR="000868D6">
              <w:rPr>
                <w:rFonts w:ascii="Arial" w:hAnsi="Arial" w:cs="Arial"/>
                <w:sz w:val="20"/>
                <w:szCs w:val="20"/>
              </w:rPr>
              <w:t xml:space="preserve"> different soil types</w:t>
            </w:r>
            <w:r w:rsidR="00703AB4">
              <w:rPr>
                <w:rFonts w:ascii="Arial" w:hAnsi="Arial" w:cs="Arial"/>
                <w:sz w:val="20"/>
                <w:szCs w:val="20"/>
              </w:rPr>
              <w:t>.</w:t>
            </w:r>
            <w:r w:rsidR="002853AE">
              <w:rPr>
                <w:rFonts w:ascii="Arial" w:hAnsi="Arial" w:cs="Arial"/>
                <w:sz w:val="20"/>
                <w:szCs w:val="20"/>
              </w:rPr>
              <w:t xml:space="preserve">  </w:t>
            </w:r>
            <w:r w:rsidR="00A83E48">
              <w:rPr>
                <w:rFonts w:ascii="Arial" w:hAnsi="Arial" w:cs="Arial"/>
                <w:sz w:val="20"/>
                <w:szCs w:val="20"/>
              </w:rPr>
              <w:t xml:space="preserve">Plans were discussed for </w:t>
            </w:r>
            <w:r w:rsidR="00CF1F0B">
              <w:rPr>
                <w:rFonts w:ascii="Arial" w:hAnsi="Arial" w:cs="Arial"/>
                <w:sz w:val="20"/>
                <w:szCs w:val="20"/>
              </w:rPr>
              <w:t>Dr. Rollins and TAC members to approach the appropriate AASHTO committees</w:t>
            </w:r>
            <w:r w:rsidR="00B955C2">
              <w:rPr>
                <w:rFonts w:ascii="Arial" w:hAnsi="Arial" w:cs="Arial"/>
                <w:sz w:val="20"/>
                <w:szCs w:val="20"/>
              </w:rPr>
              <w:t xml:space="preserve"> regarding getting on their 2013 agendas to present the research results.</w:t>
            </w:r>
            <w:r w:rsidR="00CF1F0B">
              <w:rPr>
                <w:rFonts w:ascii="Arial" w:hAnsi="Arial" w:cs="Arial"/>
                <w:sz w:val="20"/>
                <w:szCs w:val="20"/>
              </w:rPr>
              <w:t xml:space="preserve"> </w:t>
            </w:r>
            <w:r w:rsidR="00B955C2">
              <w:rPr>
                <w:rFonts w:ascii="Arial" w:hAnsi="Arial" w:cs="Arial"/>
                <w:sz w:val="20"/>
                <w:szCs w:val="20"/>
              </w:rPr>
              <w:t xml:space="preserve"> </w:t>
            </w:r>
            <w:r w:rsidR="00FE1AD2">
              <w:rPr>
                <w:rFonts w:ascii="Arial" w:hAnsi="Arial" w:cs="Arial"/>
                <w:sz w:val="20"/>
                <w:szCs w:val="20"/>
              </w:rPr>
              <w:t>At the February TAC meeting a</w:t>
            </w:r>
            <w:r w:rsidR="002853AE">
              <w:rPr>
                <w:rFonts w:ascii="Arial" w:hAnsi="Arial" w:cs="Arial"/>
                <w:sz w:val="20"/>
                <w:szCs w:val="20"/>
              </w:rPr>
              <w:t xml:space="preserve">dditional presentations were given by UDOT on their </w:t>
            </w:r>
            <w:r w:rsidR="004700F8">
              <w:rPr>
                <w:rFonts w:ascii="Arial" w:hAnsi="Arial" w:cs="Arial"/>
                <w:sz w:val="20"/>
                <w:szCs w:val="20"/>
              </w:rPr>
              <w:lastRenderedPageBreak/>
              <w:t>upcoming GRS abutment/</w:t>
            </w:r>
            <w:r w:rsidR="002853AE">
              <w:rPr>
                <w:rFonts w:ascii="Arial" w:hAnsi="Arial" w:cs="Arial"/>
                <w:sz w:val="20"/>
                <w:szCs w:val="20"/>
              </w:rPr>
              <w:t xml:space="preserve">bridge </w:t>
            </w:r>
            <w:r w:rsidR="004700F8">
              <w:rPr>
                <w:rFonts w:ascii="Arial" w:hAnsi="Arial" w:cs="Arial"/>
                <w:sz w:val="20"/>
                <w:szCs w:val="20"/>
              </w:rPr>
              <w:t xml:space="preserve">replacement </w:t>
            </w:r>
            <w:r w:rsidR="002853AE">
              <w:rPr>
                <w:rFonts w:ascii="Arial" w:hAnsi="Arial" w:cs="Arial"/>
                <w:sz w:val="20"/>
                <w:szCs w:val="20"/>
              </w:rPr>
              <w:t xml:space="preserve">project on I-84, and by BYU on </w:t>
            </w:r>
            <w:r w:rsidR="0039780C">
              <w:rPr>
                <w:rFonts w:ascii="Arial" w:hAnsi="Arial" w:cs="Arial"/>
                <w:sz w:val="20"/>
                <w:szCs w:val="20"/>
              </w:rPr>
              <w:t>D4AR technology that can be used with video imagery and modeling for displacement monitoring using point cloud methods.</w:t>
            </w:r>
          </w:p>
          <w:p w:rsidR="009B7B23" w:rsidRDefault="009B7B23" w:rsidP="00703AB4">
            <w:pPr>
              <w:spacing w:after="0" w:line="240" w:lineRule="auto"/>
              <w:rPr>
                <w:rFonts w:ascii="Arial" w:hAnsi="Arial" w:cs="Arial"/>
                <w:sz w:val="20"/>
                <w:szCs w:val="20"/>
              </w:rPr>
            </w:pPr>
          </w:p>
          <w:p w:rsidR="00C30C5F" w:rsidRDefault="009E55C1" w:rsidP="00C30C5F">
            <w:pPr>
              <w:spacing w:after="0" w:line="240" w:lineRule="auto"/>
              <w:rPr>
                <w:rFonts w:ascii="Arial" w:hAnsi="Arial" w:cs="Arial"/>
                <w:sz w:val="20"/>
                <w:szCs w:val="20"/>
              </w:rPr>
            </w:pPr>
            <w:r>
              <w:rPr>
                <w:rFonts w:ascii="Arial" w:hAnsi="Arial" w:cs="Arial"/>
                <w:sz w:val="20"/>
                <w:szCs w:val="20"/>
              </w:rPr>
              <w:t xml:space="preserve">BYU prepared a preliminary field test report for Task 4 and a </w:t>
            </w:r>
            <w:r w:rsidR="00D2670A">
              <w:rPr>
                <w:rFonts w:ascii="Arial" w:hAnsi="Arial" w:cs="Arial"/>
                <w:sz w:val="20"/>
                <w:szCs w:val="20"/>
              </w:rPr>
              <w:t xml:space="preserve">detailed </w:t>
            </w:r>
            <w:r>
              <w:rPr>
                <w:rFonts w:ascii="Arial" w:hAnsi="Arial" w:cs="Arial"/>
                <w:sz w:val="20"/>
                <w:szCs w:val="20"/>
              </w:rPr>
              <w:t xml:space="preserve">draft </w:t>
            </w:r>
            <w:r w:rsidR="00D2670A">
              <w:rPr>
                <w:rFonts w:ascii="Arial" w:hAnsi="Arial" w:cs="Arial"/>
                <w:sz w:val="20"/>
                <w:szCs w:val="20"/>
              </w:rPr>
              <w:t>report for Task 3</w:t>
            </w:r>
            <w:r>
              <w:rPr>
                <w:rFonts w:ascii="Arial" w:hAnsi="Arial" w:cs="Arial"/>
                <w:sz w:val="20"/>
                <w:szCs w:val="20"/>
              </w:rPr>
              <w:t>, and th</w:t>
            </w:r>
            <w:r w:rsidR="00D2670A">
              <w:rPr>
                <w:rFonts w:ascii="Arial" w:hAnsi="Arial" w:cs="Arial"/>
                <w:sz w:val="20"/>
                <w:szCs w:val="20"/>
              </w:rPr>
              <w:t>e</w:t>
            </w:r>
            <w:r>
              <w:rPr>
                <w:rFonts w:ascii="Arial" w:hAnsi="Arial" w:cs="Arial"/>
                <w:sz w:val="20"/>
                <w:szCs w:val="20"/>
              </w:rPr>
              <w:t>s</w:t>
            </w:r>
            <w:r w:rsidR="00D2670A">
              <w:rPr>
                <w:rFonts w:ascii="Arial" w:hAnsi="Arial" w:cs="Arial"/>
                <w:sz w:val="20"/>
                <w:szCs w:val="20"/>
              </w:rPr>
              <w:t>e</w:t>
            </w:r>
            <w:r>
              <w:rPr>
                <w:rFonts w:ascii="Arial" w:hAnsi="Arial" w:cs="Arial"/>
                <w:sz w:val="20"/>
                <w:szCs w:val="20"/>
              </w:rPr>
              <w:t xml:space="preserve"> w</w:t>
            </w:r>
            <w:r w:rsidR="00D2670A">
              <w:rPr>
                <w:rFonts w:ascii="Arial" w:hAnsi="Arial" w:cs="Arial"/>
                <w:sz w:val="20"/>
                <w:szCs w:val="20"/>
              </w:rPr>
              <w:t>ere</w:t>
            </w:r>
            <w:r>
              <w:rPr>
                <w:rFonts w:ascii="Arial" w:hAnsi="Arial" w:cs="Arial"/>
                <w:sz w:val="20"/>
                <w:szCs w:val="20"/>
              </w:rPr>
              <w:t xml:space="preserve"> shared with the TAC for review.</w:t>
            </w:r>
            <w:r w:rsidR="00C30C5F">
              <w:rPr>
                <w:rFonts w:ascii="Arial" w:hAnsi="Arial" w:cs="Arial"/>
                <w:sz w:val="20"/>
                <w:szCs w:val="20"/>
              </w:rPr>
              <w:t xml:space="preserve">  BYU continued data reduction and analysis for these two tasks.</w:t>
            </w:r>
          </w:p>
          <w:p w:rsidR="00EC46C1" w:rsidRDefault="00EC46C1" w:rsidP="00703AB4">
            <w:pPr>
              <w:spacing w:after="0" w:line="240" w:lineRule="auto"/>
              <w:rPr>
                <w:rFonts w:ascii="Arial" w:hAnsi="Arial" w:cs="Arial"/>
                <w:sz w:val="20"/>
                <w:szCs w:val="20"/>
              </w:rPr>
            </w:pPr>
          </w:p>
          <w:p w:rsidR="00F05169" w:rsidRDefault="009B3157" w:rsidP="00703AB4">
            <w:pPr>
              <w:spacing w:after="0" w:line="240" w:lineRule="auto"/>
              <w:rPr>
                <w:rFonts w:ascii="Arial" w:hAnsi="Arial" w:cs="Arial"/>
                <w:sz w:val="20"/>
                <w:szCs w:val="20"/>
              </w:rPr>
            </w:pPr>
            <w:r>
              <w:rPr>
                <w:rFonts w:ascii="Arial" w:hAnsi="Arial" w:cs="Arial"/>
                <w:sz w:val="20"/>
                <w:szCs w:val="20"/>
              </w:rPr>
              <w:t xml:space="preserve">BYU </w:t>
            </w:r>
            <w:r w:rsidR="00EC46C1">
              <w:rPr>
                <w:rFonts w:ascii="Arial" w:hAnsi="Arial" w:cs="Arial"/>
                <w:sz w:val="20"/>
                <w:szCs w:val="20"/>
              </w:rPr>
              <w:t>prepared</w:t>
            </w:r>
            <w:r w:rsidR="00E474E4">
              <w:rPr>
                <w:rFonts w:ascii="Arial" w:hAnsi="Arial" w:cs="Arial"/>
                <w:sz w:val="20"/>
                <w:szCs w:val="20"/>
              </w:rPr>
              <w:t xml:space="preserve"> a </w:t>
            </w:r>
            <w:r>
              <w:rPr>
                <w:rFonts w:ascii="Arial" w:hAnsi="Arial" w:cs="Arial"/>
                <w:sz w:val="20"/>
                <w:szCs w:val="20"/>
              </w:rPr>
              <w:t>r</w:t>
            </w:r>
            <w:r w:rsidR="00E474E4">
              <w:rPr>
                <w:rFonts w:ascii="Arial" w:hAnsi="Arial" w:cs="Arial"/>
                <w:sz w:val="20"/>
                <w:szCs w:val="20"/>
              </w:rPr>
              <w:t>evised</w:t>
            </w:r>
            <w:r w:rsidR="00EC46C1">
              <w:rPr>
                <w:rFonts w:ascii="Arial" w:hAnsi="Arial" w:cs="Arial"/>
                <w:sz w:val="20"/>
                <w:szCs w:val="20"/>
              </w:rPr>
              <w:t xml:space="preserve"> project work plan, and this was circulated to the TAC for review.</w:t>
            </w:r>
            <w:r w:rsidR="00F05169">
              <w:rPr>
                <w:rFonts w:ascii="Arial" w:hAnsi="Arial" w:cs="Arial"/>
                <w:sz w:val="20"/>
                <w:szCs w:val="20"/>
              </w:rPr>
              <w:t xml:space="preserve">  The total cost of contract and proposed additional work on this project is $255,000, equal to the total funding commitments from the pooled fund partners.</w:t>
            </w:r>
          </w:p>
          <w:p w:rsidR="00CE3B3D" w:rsidRPr="00360664" w:rsidRDefault="00CE3B3D" w:rsidP="00C30C5F">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Default="009C427D" w:rsidP="00360664">
            <w:pPr>
              <w:spacing w:after="0" w:line="240" w:lineRule="auto"/>
              <w:rPr>
                <w:rFonts w:ascii="Arial" w:hAnsi="Arial" w:cs="Arial"/>
                <w:sz w:val="20"/>
                <w:szCs w:val="20"/>
              </w:rPr>
            </w:pPr>
            <w:r>
              <w:rPr>
                <w:rFonts w:ascii="Arial" w:hAnsi="Arial" w:cs="Arial"/>
                <w:sz w:val="20"/>
                <w:szCs w:val="20"/>
              </w:rPr>
              <w:t>The co</w:t>
            </w:r>
            <w:r w:rsidR="002118B8">
              <w:rPr>
                <w:rFonts w:ascii="Arial" w:hAnsi="Arial" w:cs="Arial"/>
                <w:sz w:val="20"/>
                <w:szCs w:val="20"/>
              </w:rPr>
              <w:t xml:space="preserve">ntract will be </w:t>
            </w:r>
            <w:r w:rsidR="00F35DA2">
              <w:rPr>
                <w:rFonts w:ascii="Arial" w:hAnsi="Arial" w:cs="Arial"/>
                <w:sz w:val="20"/>
                <w:szCs w:val="20"/>
              </w:rPr>
              <w:t xml:space="preserve">modified </w:t>
            </w:r>
            <w:r w:rsidR="002118B8">
              <w:rPr>
                <w:rFonts w:ascii="Arial" w:hAnsi="Arial" w:cs="Arial"/>
                <w:sz w:val="20"/>
                <w:szCs w:val="20"/>
              </w:rPr>
              <w:t xml:space="preserve">based on </w:t>
            </w:r>
            <w:r w:rsidR="00F35DA2">
              <w:rPr>
                <w:rFonts w:ascii="Arial" w:hAnsi="Arial" w:cs="Arial"/>
                <w:sz w:val="20"/>
                <w:szCs w:val="20"/>
              </w:rPr>
              <w:t xml:space="preserve">the </w:t>
            </w:r>
            <w:r w:rsidR="002118B8">
              <w:rPr>
                <w:rFonts w:ascii="Arial" w:hAnsi="Arial" w:cs="Arial"/>
                <w:sz w:val="20"/>
                <w:szCs w:val="20"/>
              </w:rPr>
              <w:t xml:space="preserve">approved revised </w:t>
            </w:r>
            <w:r w:rsidR="00713E2D">
              <w:rPr>
                <w:rFonts w:ascii="Arial" w:hAnsi="Arial" w:cs="Arial"/>
                <w:sz w:val="20"/>
                <w:szCs w:val="20"/>
              </w:rPr>
              <w:t xml:space="preserve">work plan.  </w:t>
            </w:r>
            <w:r w:rsidR="005273BD">
              <w:rPr>
                <w:rFonts w:ascii="Arial" w:hAnsi="Arial" w:cs="Arial"/>
                <w:sz w:val="20"/>
                <w:szCs w:val="20"/>
              </w:rPr>
              <w:t xml:space="preserve">BYU will prepare a </w:t>
            </w:r>
            <w:r w:rsidR="00713E2D">
              <w:rPr>
                <w:rFonts w:ascii="Arial" w:hAnsi="Arial" w:cs="Arial"/>
                <w:sz w:val="20"/>
                <w:szCs w:val="20"/>
              </w:rPr>
              <w:t xml:space="preserve">detailed draft </w:t>
            </w:r>
            <w:r w:rsidR="005273BD">
              <w:rPr>
                <w:rFonts w:ascii="Arial" w:hAnsi="Arial" w:cs="Arial"/>
                <w:sz w:val="20"/>
                <w:szCs w:val="20"/>
              </w:rPr>
              <w:t xml:space="preserve">report for Task 4 and share this with the TAC for review.  </w:t>
            </w:r>
            <w:r w:rsidR="002C2C0A">
              <w:rPr>
                <w:rFonts w:ascii="Arial" w:hAnsi="Arial" w:cs="Arial"/>
                <w:sz w:val="20"/>
                <w:szCs w:val="20"/>
              </w:rPr>
              <w:t xml:space="preserve">BYU will continue data reduction and analysis for Tasks 3 </w:t>
            </w:r>
            <w:r w:rsidR="00713E2D">
              <w:rPr>
                <w:rFonts w:ascii="Arial" w:hAnsi="Arial" w:cs="Arial"/>
                <w:sz w:val="20"/>
                <w:szCs w:val="20"/>
              </w:rPr>
              <w:t xml:space="preserve">through </w:t>
            </w:r>
            <w:r w:rsidR="005430A7">
              <w:rPr>
                <w:rFonts w:ascii="Arial" w:hAnsi="Arial" w:cs="Arial"/>
                <w:sz w:val="20"/>
                <w:szCs w:val="20"/>
              </w:rPr>
              <w:t>5</w:t>
            </w:r>
            <w:r w:rsidR="00E60CF9">
              <w:rPr>
                <w:rFonts w:ascii="Arial" w:hAnsi="Arial" w:cs="Arial"/>
                <w:sz w:val="20"/>
                <w:szCs w:val="20"/>
              </w:rPr>
              <w:t>.</w:t>
            </w:r>
          </w:p>
          <w:p w:rsidR="00E60CF9" w:rsidRDefault="00E60CF9" w:rsidP="00360664">
            <w:pPr>
              <w:spacing w:after="0" w:line="240" w:lineRule="auto"/>
              <w:rPr>
                <w:rFonts w:ascii="Arial" w:hAnsi="Arial" w:cs="Arial"/>
                <w:sz w:val="20"/>
                <w:szCs w:val="20"/>
              </w:rPr>
            </w:pPr>
          </w:p>
          <w:p w:rsidR="00E60CF9" w:rsidRDefault="00DF417A" w:rsidP="00360664">
            <w:pPr>
              <w:spacing w:after="0" w:line="240" w:lineRule="auto"/>
              <w:rPr>
                <w:rFonts w:ascii="Arial" w:hAnsi="Arial" w:cs="Arial"/>
                <w:sz w:val="20"/>
                <w:szCs w:val="20"/>
              </w:rPr>
            </w:pPr>
            <w:r>
              <w:rPr>
                <w:rFonts w:ascii="Arial" w:hAnsi="Arial" w:cs="Arial"/>
                <w:sz w:val="20"/>
                <w:szCs w:val="20"/>
              </w:rPr>
              <w:t xml:space="preserve">BYU will </w:t>
            </w:r>
            <w:r w:rsidR="00422952">
              <w:rPr>
                <w:rFonts w:ascii="Arial" w:hAnsi="Arial" w:cs="Arial"/>
                <w:sz w:val="20"/>
                <w:szCs w:val="20"/>
              </w:rPr>
              <w:t xml:space="preserve">conduct </w:t>
            </w:r>
            <w:r>
              <w:rPr>
                <w:rFonts w:ascii="Arial" w:hAnsi="Arial" w:cs="Arial"/>
                <w:sz w:val="20"/>
                <w:szCs w:val="20"/>
              </w:rPr>
              <w:t xml:space="preserve">the new field testing in </w:t>
            </w:r>
            <w:r w:rsidR="00422952">
              <w:rPr>
                <w:rFonts w:ascii="Arial" w:hAnsi="Arial" w:cs="Arial"/>
                <w:sz w:val="20"/>
                <w:szCs w:val="20"/>
              </w:rPr>
              <w:t>May and June 2013.</w:t>
            </w:r>
          </w:p>
          <w:p w:rsidR="005D4394" w:rsidRDefault="005D4394" w:rsidP="00360664">
            <w:pPr>
              <w:spacing w:after="0" w:line="240" w:lineRule="auto"/>
              <w:rPr>
                <w:rFonts w:ascii="Arial" w:hAnsi="Arial" w:cs="Arial"/>
                <w:sz w:val="20"/>
                <w:szCs w:val="20"/>
              </w:rPr>
            </w:pPr>
          </w:p>
          <w:p w:rsidR="005D4394" w:rsidRDefault="005D4394" w:rsidP="00360664">
            <w:pPr>
              <w:spacing w:after="0" w:line="240" w:lineRule="auto"/>
              <w:rPr>
                <w:rFonts w:ascii="Arial" w:hAnsi="Arial" w:cs="Arial"/>
                <w:sz w:val="20"/>
                <w:szCs w:val="20"/>
              </w:rPr>
            </w:pPr>
            <w:r>
              <w:rPr>
                <w:rFonts w:ascii="Arial" w:hAnsi="Arial" w:cs="Arial"/>
                <w:sz w:val="20"/>
                <w:szCs w:val="20"/>
              </w:rPr>
              <w:t>Dr. Rollins will attend AASHTO meetings in May 2013 to present results of the research on behalf of the project TAC.</w:t>
            </w:r>
          </w:p>
          <w:p w:rsidR="009946EE" w:rsidRPr="00360664" w:rsidRDefault="009946EE"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6F7CC5" w:rsidP="00360664">
            <w:pPr>
              <w:spacing w:after="0" w:line="240" w:lineRule="auto"/>
              <w:rPr>
                <w:rFonts w:ascii="Arial" w:hAnsi="Arial" w:cs="Arial"/>
                <w:b/>
                <w:sz w:val="20"/>
                <w:szCs w:val="20"/>
              </w:rPr>
            </w:pPr>
            <w:r>
              <w:br w:type="page"/>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D9621A" w:rsidRDefault="00D9621A" w:rsidP="00360664">
            <w:pPr>
              <w:spacing w:after="0" w:line="240" w:lineRule="auto"/>
              <w:rPr>
                <w:rFonts w:ascii="Arial" w:hAnsi="Arial" w:cs="Arial"/>
                <w:b/>
                <w:sz w:val="20"/>
                <w:szCs w:val="20"/>
              </w:rPr>
            </w:pPr>
          </w:p>
          <w:p w:rsidR="006679DD" w:rsidRDefault="006679DD" w:rsidP="00D9621A">
            <w:pPr>
              <w:spacing w:after="0" w:line="240" w:lineRule="auto"/>
              <w:rPr>
                <w:rFonts w:ascii="Arial" w:hAnsi="Arial" w:cs="Arial"/>
                <w:sz w:val="20"/>
                <w:szCs w:val="20"/>
              </w:rPr>
            </w:pPr>
            <w:r>
              <w:rPr>
                <w:rFonts w:ascii="Arial" w:hAnsi="Arial" w:cs="Arial"/>
                <w:sz w:val="20"/>
                <w:szCs w:val="20"/>
              </w:rPr>
              <w:t>Additional results from Tasks 3</w:t>
            </w:r>
            <w:r w:rsidR="0065050F">
              <w:rPr>
                <w:rFonts w:ascii="Arial" w:hAnsi="Arial" w:cs="Arial"/>
                <w:sz w:val="20"/>
                <w:szCs w:val="20"/>
              </w:rPr>
              <w:t xml:space="preserve">, </w:t>
            </w:r>
            <w:r>
              <w:rPr>
                <w:rFonts w:ascii="Arial" w:hAnsi="Arial" w:cs="Arial"/>
                <w:sz w:val="20"/>
                <w:szCs w:val="20"/>
              </w:rPr>
              <w:t>4</w:t>
            </w:r>
            <w:r w:rsidR="0065050F">
              <w:rPr>
                <w:rFonts w:ascii="Arial" w:hAnsi="Arial" w:cs="Arial"/>
                <w:sz w:val="20"/>
                <w:szCs w:val="20"/>
              </w:rPr>
              <w:t>, and 5</w:t>
            </w:r>
            <w:r>
              <w:rPr>
                <w:rFonts w:ascii="Arial" w:hAnsi="Arial" w:cs="Arial"/>
                <w:sz w:val="20"/>
                <w:szCs w:val="20"/>
              </w:rPr>
              <w:t>:</w:t>
            </w:r>
          </w:p>
          <w:p w:rsidR="006679DD" w:rsidRDefault="006679DD" w:rsidP="00D9621A">
            <w:pPr>
              <w:spacing w:after="0" w:line="240" w:lineRule="auto"/>
              <w:rPr>
                <w:rFonts w:ascii="Arial" w:hAnsi="Arial" w:cs="Arial"/>
                <w:sz w:val="20"/>
                <w:szCs w:val="20"/>
              </w:rPr>
            </w:pPr>
          </w:p>
          <w:p w:rsidR="006F7CC5" w:rsidRPr="00DA19FF" w:rsidRDefault="000D2852" w:rsidP="00D9621A">
            <w:pPr>
              <w:spacing w:after="0" w:line="240" w:lineRule="auto"/>
              <w:rPr>
                <w:rFonts w:ascii="Arial" w:hAnsi="Arial" w:cs="Arial"/>
                <w:sz w:val="20"/>
                <w:szCs w:val="20"/>
              </w:rPr>
            </w:pPr>
            <w:r w:rsidRPr="00DA19FF">
              <w:rPr>
                <w:rFonts w:ascii="Arial" w:hAnsi="Arial" w:cs="Arial"/>
                <w:sz w:val="20"/>
                <w:szCs w:val="20"/>
              </w:rPr>
              <w:t xml:space="preserve">Analysis of the measured passive force-deflection curves was performed using a hyperbolic load-deflection curve with the ultimate resistance obtained from the log spiral method.  As shown in Fig. 1, very good agreement with the measured curve </w:t>
            </w:r>
            <w:r w:rsidR="00D21307" w:rsidRPr="00DA19FF">
              <w:rPr>
                <w:rFonts w:ascii="Arial" w:hAnsi="Arial" w:cs="Arial"/>
                <w:sz w:val="20"/>
                <w:szCs w:val="20"/>
              </w:rPr>
              <w:t>for the unconfined backfill</w:t>
            </w:r>
            <w:r w:rsidR="00F006CC">
              <w:rPr>
                <w:rFonts w:ascii="Arial" w:hAnsi="Arial" w:cs="Arial"/>
                <w:sz w:val="20"/>
                <w:szCs w:val="20"/>
              </w:rPr>
              <w:t xml:space="preserve"> at zero skew </w:t>
            </w:r>
            <w:r w:rsidR="00D21307" w:rsidRPr="00DA19FF">
              <w:rPr>
                <w:rFonts w:ascii="Arial" w:hAnsi="Arial" w:cs="Arial"/>
                <w:sz w:val="20"/>
                <w:szCs w:val="20"/>
              </w:rPr>
              <w:t xml:space="preserve">was obtained using a </w:t>
            </w:r>
            <w:r w:rsidRPr="00DA19FF">
              <w:rPr>
                <w:rFonts w:ascii="Arial" w:hAnsi="Arial" w:cs="Arial"/>
                <w:sz w:val="20"/>
                <w:szCs w:val="20"/>
              </w:rPr>
              <w:t>39.5</w:t>
            </w:r>
            <w:r w:rsidR="00D21307" w:rsidRPr="00DA19FF">
              <w:rPr>
                <w:rFonts w:ascii="Arial" w:hAnsi="Arial" w:cs="Arial"/>
                <w:sz w:val="20"/>
                <w:szCs w:val="20"/>
              </w:rPr>
              <w:t xml:space="preserve">º </w:t>
            </w:r>
            <w:r w:rsidRPr="00DA19FF">
              <w:rPr>
                <w:rFonts w:ascii="Arial" w:hAnsi="Arial" w:cs="Arial"/>
                <w:sz w:val="20"/>
                <w:szCs w:val="20"/>
              </w:rPr>
              <w:t>f</w:t>
            </w:r>
            <w:r w:rsidR="00D21307" w:rsidRPr="00DA19FF">
              <w:rPr>
                <w:rFonts w:ascii="Arial" w:hAnsi="Arial" w:cs="Arial"/>
                <w:sz w:val="20"/>
                <w:szCs w:val="20"/>
              </w:rPr>
              <w:t>riction angle f</w:t>
            </w:r>
            <w:r w:rsidRPr="00DA19FF">
              <w:rPr>
                <w:rFonts w:ascii="Arial" w:hAnsi="Arial" w:cs="Arial"/>
                <w:sz w:val="20"/>
                <w:szCs w:val="20"/>
              </w:rPr>
              <w:t>or the backfill</w:t>
            </w:r>
            <w:r w:rsidR="00D21307" w:rsidRPr="00DA19FF">
              <w:rPr>
                <w:rFonts w:ascii="Arial" w:hAnsi="Arial" w:cs="Arial"/>
                <w:sz w:val="20"/>
                <w:szCs w:val="20"/>
              </w:rPr>
              <w:t xml:space="preserve"> (from direct shear test).  The </w:t>
            </w:r>
            <w:proofErr w:type="spellStart"/>
            <w:r w:rsidR="00D21307" w:rsidRPr="00DA19FF">
              <w:rPr>
                <w:rFonts w:ascii="Arial" w:hAnsi="Arial" w:cs="Arial"/>
                <w:sz w:val="20"/>
                <w:szCs w:val="20"/>
              </w:rPr>
              <w:t>Brinch</w:t>
            </w:r>
            <w:proofErr w:type="spellEnd"/>
            <w:r w:rsidR="00D21307" w:rsidRPr="00DA19FF">
              <w:rPr>
                <w:rFonts w:ascii="Arial" w:hAnsi="Arial" w:cs="Arial"/>
                <w:sz w:val="20"/>
                <w:szCs w:val="20"/>
              </w:rPr>
              <w:t>-Hansen equation was used to account for 3D edge effects.</w:t>
            </w:r>
          </w:p>
          <w:p w:rsidR="006F7CC5" w:rsidRPr="00DA19FF" w:rsidRDefault="000D2852" w:rsidP="00D9621A">
            <w:pPr>
              <w:spacing w:after="0" w:line="240" w:lineRule="auto"/>
              <w:rPr>
                <w:rFonts w:ascii="Arial" w:hAnsi="Arial" w:cs="Arial"/>
                <w:sz w:val="20"/>
                <w:szCs w:val="20"/>
              </w:rPr>
            </w:pPr>
            <w:r w:rsidRPr="00DA19FF">
              <w:rPr>
                <w:rFonts w:ascii="Arial" w:hAnsi="Arial" w:cs="Arial"/>
                <w:noProof/>
                <w:sz w:val="20"/>
                <w:szCs w:val="20"/>
              </w:rPr>
              <w:drawing>
                <wp:inline distT="0" distB="0" distL="0" distR="0" wp14:anchorId="2862BB07" wp14:editId="6EADCC17">
                  <wp:extent cx="5528238" cy="396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5455"/>
                          <a:stretch/>
                        </pic:blipFill>
                        <pic:spPr bwMode="auto">
                          <a:xfrm>
                            <a:off x="0" y="0"/>
                            <a:ext cx="5529093" cy="3963013"/>
                          </a:xfrm>
                          <a:prstGeom prst="rect">
                            <a:avLst/>
                          </a:prstGeom>
                          <a:noFill/>
                          <a:ln>
                            <a:noFill/>
                          </a:ln>
                          <a:extLst>
                            <a:ext uri="{53640926-AAD7-44D8-BBD7-CCE9431645EC}">
                              <a14:shadowObscured xmlns:a14="http://schemas.microsoft.com/office/drawing/2010/main"/>
                            </a:ext>
                          </a:extLst>
                        </pic:spPr>
                      </pic:pic>
                    </a:graphicData>
                  </a:graphic>
                </wp:inline>
              </w:drawing>
            </w:r>
          </w:p>
          <w:p w:rsidR="000D2852" w:rsidRPr="00DA19FF" w:rsidRDefault="000D2852" w:rsidP="00D9621A">
            <w:pPr>
              <w:spacing w:after="0" w:line="240" w:lineRule="auto"/>
              <w:rPr>
                <w:rFonts w:ascii="Arial" w:hAnsi="Arial" w:cs="Arial"/>
                <w:sz w:val="20"/>
                <w:szCs w:val="20"/>
              </w:rPr>
            </w:pPr>
            <w:r w:rsidRPr="00DA19FF">
              <w:rPr>
                <w:rFonts w:ascii="Arial" w:hAnsi="Arial" w:cs="Arial"/>
                <w:sz w:val="20"/>
                <w:szCs w:val="20"/>
              </w:rPr>
              <w:t xml:space="preserve">Fig. 1.  Comparison of measured and computed passive force-deflection curves for zero skew </w:t>
            </w:r>
            <w:proofErr w:type="gramStart"/>
            <w:r w:rsidRPr="00DA19FF">
              <w:rPr>
                <w:rFonts w:ascii="Arial" w:hAnsi="Arial" w:cs="Arial"/>
                <w:sz w:val="20"/>
                <w:szCs w:val="20"/>
              </w:rPr>
              <w:t>test</w:t>
            </w:r>
            <w:proofErr w:type="gramEnd"/>
            <w:r w:rsidRPr="00DA19FF">
              <w:rPr>
                <w:rFonts w:ascii="Arial" w:hAnsi="Arial" w:cs="Arial"/>
                <w:sz w:val="20"/>
                <w:szCs w:val="20"/>
              </w:rPr>
              <w:t xml:space="preserve"> w</w:t>
            </w:r>
            <w:r w:rsidR="00D21307" w:rsidRPr="00DA19FF">
              <w:rPr>
                <w:rFonts w:ascii="Arial" w:hAnsi="Arial" w:cs="Arial"/>
                <w:sz w:val="20"/>
                <w:szCs w:val="20"/>
              </w:rPr>
              <w:t>ith unconfined backfill with friction angle of 39.5 degrees for the backfill.</w:t>
            </w:r>
            <w:r w:rsidRPr="00DA19FF">
              <w:rPr>
                <w:rFonts w:ascii="Arial" w:hAnsi="Arial" w:cs="Arial"/>
                <w:sz w:val="20"/>
                <w:szCs w:val="20"/>
              </w:rPr>
              <w:t xml:space="preserve"> </w:t>
            </w:r>
          </w:p>
          <w:p w:rsidR="00DA19FF" w:rsidRPr="00DA19FF" w:rsidRDefault="00DA19FF" w:rsidP="00D9621A">
            <w:pPr>
              <w:spacing w:after="0" w:line="240" w:lineRule="auto"/>
              <w:rPr>
                <w:rFonts w:ascii="Arial" w:hAnsi="Arial" w:cs="Arial"/>
                <w:sz w:val="20"/>
                <w:szCs w:val="20"/>
              </w:rPr>
            </w:pPr>
          </w:p>
          <w:p w:rsidR="000C209F" w:rsidRPr="00DA19FF" w:rsidRDefault="00D21307" w:rsidP="00D9621A">
            <w:pPr>
              <w:spacing w:after="0" w:line="240" w:lineRule="auto"/>
              <w:rPr>
                <w:rFonts w:ascii="Arial" w:hAnsi="Arial" w:cs="Arial"/>
                <w:sz w:val="20"/>
                <w:szCs w:val="20"/>
              </w:rPr>
            </w:pPr>
            <w:r w:rsidRPr="00DA19FF">
              <w:rPr>
                <w:rFonts w:ascii="Arial" w:hAnsi="Arial" w:cs="Arial"/>
                <w:sz w:val="20"/>
                <w:szCs w:val="20"/>
              </w:rPr>
              <w:t xml:space="preserve">When the same friction angle (39.5º) was used to analyze the load-deflection curve for the backfill confined by MSE </w:t>
            </w:r>
            <w:proofErr w:type="spellStart"/>
            <w:r w:rsidRPr="00DA19FF">
              <w:rPr>
                <w:rFonts w:ascii="Arial" w:hAnsi="Arial" w:cs="Arial"/>
                <w:sz w:val="20"/>
                <w:szCs w:val="20"/>
              </w:rPr>
              <w:t>wingwalls</w:t>
            </w:r>
            <w:proofErr w:type="spellEnd"/>
            <w:r w:rsidRPr="00DA19FF">
              <w:rPr>
                <w:rFonts w:ascii="Arial" w:hAnsi="Arial" w:cs="Arial"/>
                <w:sz w:val="20"/>
                <w:szCs w:val="20"/>
              </w:rPr>
              <w:t>, the predicted ultimate resistance was significantly lower than the measured curve as shown in Fig. 2.  To obtain agreement with the measured curve, it was necessary to use a friction angle of 47.1º</w:t>
            </w:r>
            <w:r w:rsidR="007828F8" w:rsidRPr="00DA19FF">
              <w:rPr>
                <w:rFonts w:ascii="Arial" w:hAnsi="Arial" w:cs="Arial"/>
                <w:sz w:val="20"/>
                <w:szCs w:val="20"/>
              </w:rPr>
              <w:t xml:space="preserve">.  The increased resistance can be explained by two factors. First, with the MSE </w:t>
            </w:r>
            <w:proofErr w:type="spellStart"/>
            <w:r w:rsidR="007828F8" w:rsidRPr="00DA19FF">
              <w:rPr>
                <w:rFonts w:ascii="Arial" w:hAnsi="Arial" w:cs="Arial"/>
                <w:sz w:val="20"/>
                <w:szCs w:val="20"/>
              </w:rPr>
              <w:t>wingwalls</w:t>
            </w:r>
            <w:proofErr w:type="spellEnd"/>
            <w:r w:rsidR="007828F8" w:rsidRPr="00DA19FF">
              <w:rPr>
                <w:rFonts w:ascii="Arial" w:hAnsi="Arial" w:cs="Arial"/>
                <w:sz w:val="20"/>
                <w:szCs w:val="20"/>
              </w:rPr>
              <w:t xml:space="preserve">, the backfill is under plane strain conditions and the plane strain friction angle would be expected to be about 12% higher than the </w:t>
            </w:r>
            <w:proofErr w:type="spellStart"/>
            <w:r w:rsidR="007828F8" w:rsidRPr="00DA19FF">
              <w:rPr>
                <w:rFonts w:ascii="Arial" w:hAnsi="Arial" w:cs="Arial"/>
                <w:sz w:val="20"/>
                <w:szCs w:val="20"/>
              </w:rPr>
              <w:t>triaxial</w:t>
            </w:r>
            <w:proofErr w:type="spellEnd"/>
            <w:r w:rsidR="007828F8" w:rsidRPr="00DA19FF">
              <w:rPr>
                <w:rFonts w:ascii="Arial" w:hAnsi="Arial" w:cs="Arial"/>
                <w:sz w:val="20"/>
                <w:szCs w:val="20"/>
              </w:rPr>
              <w:t xml:space="preserve"> friction angle.  Second, the reinforcements within the soil might be expected to increase the frictional resistance as shear plane extended back into the fill material. </w:t>
            </w:r>
            <w:r w:rsidRPr="00DA19FF">
              <w:rPr>
                <w:rFonts w:ascii="Arial" w:hAnsi="Arial" w:cs="Arial"/>
                <w:sz w:val="20"/>
                <w:szCs w:val="20"/>
              </w:rPr>
              <w:t xml:space="preserve">  </w:t>
            </w:r>
          </w:p>
          <w:p w:rsidR="00D21307" w:rsidRPr="00DA19FF" w:rsidRDefault="00D21307" w:rsidP="00D9621A">
            <w:pPr>
              <w:spacing w:after="0" w:line="240" w:lineRule="auto"/>
              <w:rPr>
                <w:rFonts w:ascii="Arial" w:hAnsi="Arial" w:cs="Arial"/>
                <w:b/>
                <w:sz w:val="20"/>
                <w:szCs w:val="20"/>
              </w:rPr>
            </w:pPr>
          </w:p>
          <w:p w:rsidR="00D21307" w:rsidRPr="00DA19FF" w:rsidRDefault="00D21307" w:rsidP="00D9621A">
            <w:pPr>
              <w:spacing w:after="0" w:line="240" w:lineRule="auto"/>
              <w:rPr>
                <w:rFonts w:ascii="Arial" w:hAnsi="Arial" w:cs="Arial"/>
                <w:b/>
                <w:sz w:val="20"/>
                <w:szCs w:val="20"/>
              </w:rPr>
            </w:pPr>
            <w:r w:rsidRPr="00DA19FF">
              <w:rPr>
                <w:rFonts w:ascii="Arial" w:hAnsi="Arial" w:cs="Arial"/>
                <w:b/>
                <w:noProof/>
                <w:sz w:val="20"/>
                <w:szCs w:val="20"/>
              </w:rPr>
              <w:drawing>
                <wp:inline distT="0" distB="0" distL="0" distR="0" wp14:anchorId="1C7B7250" wp14:editId="46DD2660">
                  <wp:extent cx="5175250" cy="3920141"/>
                  <wp:effectExtent l="0" t="0" r="635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3920141"/>
                          </a:xfrm>
                          <a:prstGeom prst="rect">
                            <a:avLst/>
                          </a:prstGeom>
                          <a:noFill/>
                          <a:ln>
                            <a:noFill/>
                          </a:ln>
                        </pic:spPr>
                      </pic:pic>
                    </a:graphicData>
                  </a:graphic>
                </wp:inline>
              </w:drawing>
            </w:r>
          </w:p>
          <w:p w:rsidR="00D21307" w:rsidRPr="00DA19FF" w:rsidRDefault="00D21307" w:rsidP="00D21307">
            <w:pPr>
              <w:spacing w:after="0" w:line="240" w:lineRule="auto"/>
              <w:rPr>
                <w:rFonts w:ascii="Arial" w:hAnsi="Arial" w:cs="Arial"/>
                <w:sz w:val="20"/>
                <w:szCs w:val="20"/>
              </w:rPr>
            </w:pPr>
            <w:r w:rsidRPr="00DA19FF">
              <w:rPr>
                <w:rFonts w:ascii="Arial" w:hAnsi="Arial" w:cs="Arial"/>
                <w:sz w:val="20"/>
                <w:szCs w:val="20"/>
              </w:rPr>
              <w:t xml:space="preserve">Fig. 2.  Comparison of measured and computed passive force-deflection curves for zero skew test with MSE </w:t>
            </w:r>
            <w:proofErr w:type="spellStart"/>
            <w:r w:rsidRPr="00DA19FF">
              <w:rPr>
                <w:rFonts w:ascii="Arial" w:hAnsi="Arial" w:cs="Arial"/>
                <w:sz w:val="20"/>
                <w:szCs w:val="20"/>
              </w:rPr>
              <w:t>wingwalls</w:t>
            </w:r>
            <w:proofErr w:type="spellEnd"/>
            <w:r w:rsidRPr="00DA19FF">
              <w:rPr>
                <w:rFonts w:ascii="Arial" w:hAnsi="Arial" w:cs="Arial"/>
                <w:sz w:val="20"/>
                <w:szCs w:val="20"/>
              </w:rPr>
              <w:t xml:space="preserve"> confining the backfill with friction angles of 39.5º (</w:t>
            </w:r>
            <w:proofErr w:type="spellStart"/>
            <w:r w:rsidRPr="00DA19FF">
              <w:rPr>
                <w:rFonts w:ascii="Arial" w:hAnsi="Arial" w:cs="Arial"/>
                <w:sz w:val="20"/>
                <w:szCs w:val="20"/>
              </w:rPr>
              <w:t>triaxial</w:t>
            </w:r>
            <w:proofErr w:type="spellEnd"/>
            <w:r w:rsidRPr="00DA19FF">
              <w:rPr>
                <w:rFonts w:ascii="Arial" w:hAnsi="Arial" w:cs="Arial"/>
                <w:sz w:val="20"/>
                <w:szCs w:val="20"/>
              </w:rPr>
              <w:t xml:space="preserve">) and 47.1º (plane strain) for the backfill. </w:t>
            </w:r>
          </w:p>
          <w:p w:rsidR="004E1277" w:rsidRDefault="004E1277" w:rsidP="00D21307">
            <w:pPr>
              <w:spacing w:after="0" w:line="240" w:lineRule="auto"/>
              <w:rPr>
                <w:rFonts w:ascii="Arial" w:hAnsi="Arial" w:cs="Arial"/>
                <w:sz w:val="20"/>
                <w:szCs w:val="20"/>
              </w:rPr>
            </w:pPr>
          </w:p>
          <w:p w:rsidR="00405620" w:rsidRDefault="00405620" w:rsidP="00D21307">
            <w:pPr>
              <w:spacing w:after="0" w:line="240" w:lineRule="auto"/>
              <w:rPr>
                <w:rFonts w:ascii="Arial" w:hAnsi="Arial" w:cs="Arial"/>
                <w:sz w:val="20"/>
                <w:szCs w:val="20"/>
              </w:rPr>
            </w:pPr>
          </w:p>
          <w:p w:rsidR="00405620" w:rsidRPr="00DA19FF" w:rsidRDefault="00405620" w:rsidP="00D21307">
            <w:pPr>
              <w:spacing w:after="0" w:line="240" w:lineRule="auto"/>
              <w:rPr>
                <w:rFonts w:ascii="Arial" w:hAnsi="Arial" w:cs="Arial"/>
                <w:sz w:val="20"/>
                <w:szCs w:val="20"/>
              </w:rPr>
            </w:pPr>
          </w:p>
          <w:p w:rsidR="009E6BAF" w:rsidRPr="00DA19FF" w:rsidRDefault="004E1277" w:rsidP="00D21307">
            <w:pPr>
              <w:spacing w:after="0" w:line="240" w:lineRule="auto"/>
              <w:rPr>
                <w:rFonts w:ascii="Arial" w:hAnsi="Arial" w:cs="Arial"/>
                <w:sz w:val="20"/>
                <w:szCs w:val="20"/>
              </w:rPr>
            </w:pPr>
            <w:r w:rsidRPr="00DA19FF">
              <w:rPr>
                <w:rFonts w:ascii="Arial" w:hAnsi="Arial" w:cs="Arial"/>
                <w:sz w:val="20"/>
                <w:szCs w:val="20"/>
              </w:rPr>
              <w:t xml:space="preserve">Analysis of the internal shear planes for the test with unconfined backfill provides a potential explanation of the decrease in passive force as skew angle increases. For both the 0° and 15° tests the internal shear planes were remarkably similar to the log-spiral shear planes described by </w:t>
            </w:r>
            <w:proofErr w:type="spellStart"/>
            <w:r w:rsidRPr="00DA19FF">
              <w:rPr>
                <w:rFonts w:ascii="Arial" w:hAnsi="Arial" w:cs="Arial"/>
                <w:sz w:val="20"/>
                <w:szCs w:val="20"/>
              </w:rPr>
              <w:t>Terzaghi</w:t>
            </w:r>
            <w:proofErr w:type="spellEnd"/>
            <w:r w:rsidRPr="00DA19FF">
              <w:rPr>
                <w:rFonts w:ascii="Arial" w:hAnsi="Arial" w:cs="Arial"/>
                <w:sz w:val="20"/>
                <w:szCs w:val="20"/>
              </w:rPr>
              <w:t xml:space="preserve"> (1943).  Specifically, there was a curved lower shear plane that progresses first downward from the bottom of the </w:t>
            </w:r>
            <w:proofErr w:type="spellStart"/>
            <w:r w:rsidRPr="00DA19FF">
              <w:rPr>
                <w:rFonts w:ascii="Arial" w:hAnsi="Arial" w:cs="Arial"/>
                <w:sz w:val="20"/>
                <w:szCs w:val="20"/>
              </w:rPr>
              <w:t>backwall</w:t>
            </w:r>
            <w:proofErr w:type="spellEnd"/>
            <w:r w:rsidRPr="00DA19FF">
              <w:rPr>
                <w:rFonts w:ascii="Arial" w:hAnsi="Arial" w:cs="Arial"/>
                <w:sz w:val="20"/>
                <w:szCs w:val="20"/>
              </w:rPr>
              <w:t xml:space="preserve"> and then up to the surface of the backfill at an angle with the horizontal approximately equal to 45° - </w:t>
            </w:r>
            <w:r w:rsidRPr="00DA19FF">
              <w:rPr>
                <w:rFonts w:ascii="Arial" w:hAnsi="Arial" w:cs="Arial"/>
                <w:sz w:val="20"/>
                <w:szCs w:val="20"/>
              </w:rPr>
              <w:sym w:font="Symbol" w:char="F066"/>
            </w:r>
            <w:r w:rsidRPr="00DA19FF">
              <w:rPr>
                <w:rFonts w:ascii="Arial" w:hAnsi="Arial" w:cs="Arial"/>
                <w:sz w:val="20"/>
                <w:szCs w:val="20"/>
              </w:rPr>
              <w:t xml:space="preserve">/2, and an upper shear plane that descended from the top of the </w:t>
            </w:r>
            <w:proofErr w:type="spellStart"/>
            <w:r w:rsidRPr="00DA19FF">
              <w:rPr>
                <w:rFonts w:ascii="Arial" w:hAnsi="Arial" w:cs="Arial"/>
                <w:sz w:val="20"/>
                <w:szCs w:val="20"/>
              </w:rPr>
              <w:t>backwall</w:t>
            </w:r>
            <w:proofErr w:type="spellEnd"/>
            <w:r w:rsidRPr="00DA19FF">
              <w:rPr>
                <w:rFonts w:ascii="Arial" w:hAnsi="Arial" w:cs="Arial"/>
                <w:sz w:val="20"/>
                <w:szCs w:val="20"/>
              </w:rPr>
              <w:t xml:space="preserve"> to intersect the rising shear plane at an angle with the horizontal also approximately equal to 45° –</w:t>
            </w:r>
            <w:r w:rsidRPr="00DA19FF">
              <w:rPr>
                <w:rFonts w:ascii="Arial" w:hAnsi="Arial" w:cs="Arial"/>
                <w:sz w:val="20"/>
                <w:szCs w:val="20"/>
              </w:rPr>
              <w:sym w:font="Symbol" w:char="F066"/>
            </w:r>
            <w:r w:rsidRPr="00DA19FF">
              <w:rPr>
                <w:rFonts w:ascii="Arial" w:hAnsi="Arial" w:cs="Arial"/>
                <w:sz w:val="20"/>
                <w:szCs w:val="20"/>
              </w:rPr>
              <w:t>/2</w:t>
            </w:r>
            <w:r w:rsidR="009E6BAF" w:rsidRPr="00DA19FF">
              <w:rPr>
                <w:rFonts w:ascii="Arial" w:hAnsi="Arial" w:cs="Arial"/>
                <w:sz w:val="20"/>
                <w:szCs w:val="20"/>
              </w:rPr>
              <w:t xml:space="preserve"> as shown in Fig. 3.</w:t>
            </w:r>
            <w:r w:rsidRPr="00DA19FF">
              <w:rPr>
                <w:rFonts w:ascii="Arial" w:hAnsi="Arial" w:cs="Arial"/>
                <w:sz w:val="20"/>
                <w:szCs w:val="20"/>
              </w:rPr>
              <w:t xml:space="preserve"> </w:t>
            </w:r>
            <w:r w:rsidR="009E6BAF" w:rsidRPr="00DA19FF">
              <w:rPr>
                <w:rFonts w:ascii="Arial" w:hAnsi="Arial" w:cs="Arial"/>
                <w:sz w:val="20"/>
                <w:szCs w:val="20"/>
              </w:rPr>
              <w:t xml:space="preserve"> Neither</w:t>
            </w:r>
            <w:r w:rsidRPr="00DA19FF">
              <w:rPr>
                <w:rFonts w:ascii="Arial" w:hAnsi="Arial" w:cs="Arial"/>
                <w:sz w:val="20"/>
                <w:szCs w:val="20"/>
              </w:rPr>
              <w:t xml:space="preserve"> the </w:t>
            </w:r>
            <w:proofErr w:type="spellStart"/>
            <w:r w:rsidRPr="00DA19FF">
              <w:rPr>
                <w:rFonts w:ascii="Arial" w:hAnsi="Arial" w:cs="Arial"/>
                <w:sz w:val="20"/>
                <w:szCs w:val="20"/>
              </w:rPr>
              <w:t>Rankine</w:t>
            </w:r>
            <w:proofErr w:type="spellEnd"/>
            <w:r w:rsidRPr="00DA19FF">
              <w:rPr>
                <w:rFonts w:ascii="Arial" w:hAnsi="Arial" w:cs="Arial"/>
                <w:sz w:val="20"/>
                <w:szCs w:val="20"/>
              </w:rPr>
              <w:t xml:space="preserve"> </w:t>
            </w:r>
            <w:r w:rsidR="003D335D">
              <w:rPr>
                <w:rFonts w:ascii="Arial" w:hAnsi="Arial" w:cs="Arial"/>
                <w:sz w:val="20"/>
                <w:szCs w:val="20"/>
              </w:rPr>
              <w:t>n</w:t>
            </w:r>
            <w:r w:rsidR="009E6BAF" w:rsidRPr="00DA19FF">
              <w:rPr>
                <w:rFonts w:ascii="Arial" w:hAnsi="Arial" w:cs="Arial"/>
                <w:sz w:val="20"/>
                <w:szCs w:val="20"/>
              </w:rPr>
              <w:t xml:space="preserve">or Coulomb </w:t>
            </w:r>
            <w:r w:rsidRPr="00DA19FF">
              <w:rPr>
                <w:rFonts w:ascii="Arial" w:hAnsi="Arial" w:cs="Arial"/>
                <w:sz w:val="20"/>
                <w:szCs w:val="20"/>
              </w:rPr>
              <w:t>failure geometr</w:t>
            </w:r>
            <w:r w:rsidR="009E6BAF" w:rsidRPr="00DA19FF">
              <w:rPr>
                <w:rFonts w:ascii="Arial" w:hAnsi="Arial" w:cs="Arial"/>
                <w:sz w:val="20"/>
                <w:szCs w:val="20"/>
              </w:rPr>
              <w:t>ies</w:t>
            </w:r>
            <w:r w:rsidRPr="00DA19FF">
              <w:rPr>
                <w:rFonts w:ascii="Arial" w:hAnsi="Arial" w:cs="Arial"/>
                <w:sz w:val="20"/>
                <w:szCs w:val="20"/>
              </w:rPr>
              <w:t xml:space="preserve"> predict this upper failure surface.</w:t>
            </w:r>
            <w:r w:rsidR="009E6BAF" w:rsidRPr="00DA19FF">
              <w:rPr>
                <w:rFonts w:ascii="Arial" w:hAnsi="Arial" w:cs="Arial"/>
                <w:sz w:val="20"/>
                <w:szCs w:val="20"/>
              </w:rPr>
              <w:t xml:space="preserve">  However, for the 30º skew angle the internal shear surfaces shown in Fig. 4 are much more linear and the upper shear surface is no longer developed.  </w:t>
            </w:r>
            <w:r w:rsidR="00A66E40" w:rsidRPr="00DA19FF">
              <w:rPr>
                <w:rFonts w:ascii="Arial" w:hAnsi="Arial" w:cs="Arial"/>
                <w:sz w:val="20"/>
                <w:szCs w:val="20"/>
              </w:rPr>
              <w:t xml:space="preserve">These failure surfaces are much closer to the failure surface predicted by the </w:t>
            </w:r>
            <w:proofErr w:type="spellStart"/>
            <w:r w:rsidR="00A66E40" w:rsidRPr="00DA19FF">
              <w:rPr>
                <w:rFonts w:ascii="Arial" w:hAnsi="Arial" w:cs="Arial"/>
                <w:sz w:val="20"/>
                <w:szCs w:val="20"/>
              </w:rPr>
              <w:t>Rankine</w:t>
            </w:r>
            <w:proofErr w:type="spellEnd"/>
            <w:r w:rsidR="00A66E40" w:rsidRPr="00DA19FF">
              <w:rPr>
                <w:rFonts w:ascii="Arial" w:hAnsi="Arial" w:cs="Arial"/>
                <w:sz w:val="20"/>
                <w:szCs w:val="20"/>
              </w:rPr>
              <w:t xml:space="preserve"> method where friction on the wall surface is zero.  Because the </w:t>
            </w:r>
            <w:proofErr w:type="spellStart"/>
            <w:r w:rsidR="00A66E40" w:rsidRPr="00DA19FF">
              <w:rPr>
                <w:rFonts w:ascii="Arial" w:hAnsi="Arial" w:cs="Arial"/>
                <w:sz w:val="20"/>
                <w:szCs w:val="20"/>
              </w:rPr>
              <w:t>Rankine</w:t>
            </w:r>
            <w:proofErr w:type="spellEnd"/>
            <w:r w:rsidR="00A66E40" w:rsidRPr="00DA19FF">
              <w:rPr>
                <w:rFonts w:ascii="Arial" w:hAnsi="Arial" w:cs="Arial"/>
                <w:sz w:val="20"/>
                <w:szCs w:val="20"/>
              </w:rPr>
              <w:t xml:space="preserve"> failure wedge involves a much smaller volume than the log-spiral volume, the passive force is significantly smaller.  This difference in the failure mechanism may potentially explain the lower passive force as skew angle increases.  The reduction in effective wall friction angle could be due to the increased shear stress on the wall surface for the 30º skew test.  For this skew angle the shear stress applied along the soil-wall interface is approximately equal to the shear resistance.  This could lead to a case where there is insufficient friction on the interface to develop the full passive resistance.</w:t>
            </w:r>
          </w:p>
          <w:p w:rsidR="0072768C" w:rsidRDefault="0072768C" w:rsidP="00D21307">
            <w:pPr>
              <w:spacing w:after="0" w:line="240" w:lineRule="auto"/>
              <w:rPr>
                <w:rFonts w:ascii="Arial" w:hAnsi="Arial" w:cs="Arial"/>
                <w:sz w:val="20"/>
                <w:szCs w:val="20"/>
              </w:rPr>
            </w:pPr>
          </w:p>
          <w:p w:rsidR="0072768C" w:rsidRDefault="0072768C" w:rsidP="00D21307">
            <w:pPr>
              <w:spacing w:after="0" w:line="240" w:lineRule="auto"/>
              <w:rPr>
                <w:rFonts w:ascii="Arial" w:hAnsi="Arial" w:cs="Arial"/>
                <w:sz w:val="20"/>
                <w:szCs w:val="20"/>
              </w:rPr>
            </w:pPr>
          </w:p>
          <w:p w:rsidR="0072768C" w:rsidRDefault="0072768C" w:rsidP="00D21307">
            <w:pPr>
              <w:spacing w:after="0" w:line="240" w:lineRule="auto"/>
              <w:rPr>
                <w:rFonts w:ascii="Arial" w:hAnsi="Arial" w:cs="Arial"/>
                <w:sz w:val="20"/>
                <w:szCs w:val="20"/>
              </w:rPr>
            </w:pPr>
          </w:p>
          <w:p w:rsidR="0072768C" w:rsidRDefault="0072768C" w:rsidP="00D21307">
            <w:pPr>
              <w:spacing w:after="0" w:line="240" w:lineRule="auto"/>
              <w:rPr>
                <w:rFonts w:ascii="Arial" w:hAnsi="Arial" w:cs="Arial"/>
                <w:sz w:val="20"/>
                <w:szCs w:val="20"/>
              </w:rPr>
            </w:pPr>
          </w:p>
          <w:p w:rsidR="0072768C" w:rsidRPr="00DA19FF" w:rsidRDefault="0072768C" w:rsidP="00D21307">
            <w:pPr>
              <w:spacing w:after="0" w:line="240" w:lineRule="auto"/>
              <w:rPr>
                <w:rFonts w:ascii="Arial" w:hAnsi="Arial" w:cs="Arial"/>
                <w:sz w:val="20"/>
                <w:szCs w:val="20"/>
              </w:rPr>
            </w:pPr>
          </w:p>
          <w:p w:rsidR="009E6BAF" w:rsidRPr="00DA19FF" w:rsidRDefault="009E6BAF" w:rsidP="00D21307">
            <w:pPr>
              <w:spacing w:after="0" w:line="240" w:lineRule="auto"/>
              <w:rPr>
                <w:rFonts w:ascii="Arial" w:hAnsi="Arial" w:cs="Arial"/>
                <w:sz w:val="20"/>
                <w:szCs w:val="20"/>
              </w:rPr>
            </w:pPr>
          </w:p>
          <w:p w:rsidR="009E6BAF" w:rsidRPr="00DA19FF" w:rsidRDefault="009E6BAF" w:rsidP="00D21307">
            <w:pPr>
              <w:spacing w:after="0" w:line="240" w:lineRule="auto"/>
              <w:rPr>
                <w:rFonts w:ascii="Arial" w:hAnsi="Arial" w:cs="Arial"/>
                <w:sz w:val="20"/>
                <w:szCs w:val="20"/>
              </w:rPr>
            </w:pPr>
            <w:r w:rsidRPr="00DA19FF">
              <w:rPr>
                <w:rFonts w:ascii="Arial" w:hAnsi="Arial" w:cs="Arial"/>
                <w:noProof/>
                <w:sz w:val="20"/>
                <w:szCs w:val="20"/>
              </w:rPr>
              <w:drawing>
                <wp:inline distT="0" distB="0" distL="0" distR="0" wp14:anchorId="2D161D5F" wp14:editId="44719FF3">
                  <wp:extent cx="5943600" cy="3108960"/>
                  <wp:effectExtent l="0" t="0" r="0" b="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6BAF" w:rsidRPr="00DA19FF" w:rsidRDefault="009E6BAF" w:rsidP="00D21307">
            <w:pPr>
              <w:spacing w:after="0" w:line="240" w:lineRule="auto"/>
              <w:rPr>
                <w:rFonts w:ascii="Arial" w:hAnsi="Arial" w:cs="Arial"/>
                <w:sz w:val="20"/>
                <w:szCs w:val="20"/>
              </w:rPr>
            </w:pPr>
            <w:r w:rsidRPr="00DA19FF">
              <w:rPr>
                <w:rFonts w:ascii="Arial" w:hAnsi="Arial" w:cs="Arial"/>
                <w:sz w:val="20"/>
                <w:szCs w:val="20"/>
              </w:rPr>
              <w:t>Fig. 3</w:t>
            </w:r>
            <w:r w:rsidR="007E1260">
              <w:rPr>
                <w:rFonts w:ascii="Arial" w:hAnsi="Arial" w:cs="Arial"/>
                <w:sz w:val="20"/>
                <w:szCs w:val="20"/>
              </w:rPr>
              <w:t>.</w:t>
            </w:r>
            <w:r w:rsidRPr="00DA19FF">
              <w:rPr>
                <w:rFonts w:ascii="Arial" w:hAnsi="Arial" w:cs="Arial"/>
                <w:sz w:val="20"/>
                <w:szCs w:val="20"/>
              </w:rPr>
              <w:t xml:space="preserve"> </w:t>
            </w:r>
            <w:r w:rsidR="007E1260">
              <w:rPr>
                <w:rFonts w:ascii="Arial" w:hAnsi="Arial" w:cs="Arial"/>
                <w:sz w:val="20"/>
                <w:szCs w:val="20"/>
              </w:rPr>
              <w:t xml:space="preserve"> </w:t>
            </w:r>
            <w:r w:rsidRPr="00DA19FF">
              <w:rPr>
                <w:rFonts w:ascii="Arial" w:hAnsi="Arial" w:cs="Arial"/>
                <w:sz w:val="20"/>
                <w:szCs w:val="20"/>
              </w:rPr>
              <w:t>Measured internal shear planes for the passive force test on unconfined backfill with a zero degree skew angle showing curved failure surfaces typical of log-spiral failure geometry.</w:t>
            </w:r>
            <w:r w:rsidR="00A66E40" w:rsidRPr="00DA19FF">
              <w:rPr>
                <w:rFonts w:ascii="Arial" w:hAnsi="Arial" w:cs="Arial"/>
                <w:sz w:val="20"/>
                <w:szCs w:val="20"/>
              </w:rPr>
              <w:t xml:space="preserve">  Note the presence of upper shear surface extending downward from the top of the wall to the failure surface.</w:t>
            </w:r>
          </w:p>
          <w:p w:rsidR="009E6BAF" w:rsidRDefault="009E6BAF" w:rsidP="00D21307">
            <w:pPr>
              <w:spacing w:after="0" w:line="240" w:lineRule="auto"/>
              <w:rPr>
                <w:rFonts w:ascii="Arial" w:hAnsi="Arial" w:cs="Arial"/>
                <w:sz w:val="20"/>
                <w:szCs w:val="20"/>
              </w:rPr>
            </w:pPr>
          </w:p>
          <w:p w:rsidR="0072768C" w:rsidRPr="00DA19FF" w:rsidRDefault="0072768C" w:rsidP="00D21307">
            <w:pPr>
              <w:spacing w:after="0" w:line="240" w:lineRule="auto"/>
              <w:rPr>
                <w:rFonts w:ascii="Arial" w:hAnsi="Arial" w:cs="Arial"/>
                <w:sz w:val="20"/>
                <w:szCs w:val="20"/>
              </w:rPr>
            </w:pPr>
          </w:p>
          <w:p w:rsidR="004E1277" w:rsidRPr="00DA19FF" w:rsidRDefault="004E1277" w:rsidP="00D21307">
            <w:pPr>
              <w:spacing w:after="0" w:line="240" w:lineRule="auto"/>
              <w:rPr>
                <w:rFonts w:ascii="Arial" w:hAnsi="Arial" w:cs="Arial"/>
                <w:sz w:val="20"/>
                <w:szCs w:val="20"/>
              </w:rPr>
            </w:pPr>
          </w:p>
          <w:p w:rsidR="009E6BAF" w:rsidRPr="00DA19FF" w:rsidRDefault="00A66E40" w:rsidP="00D21307">
            <w:pPr>
              <w:spacing w:after="0" w:line="240" w:lineRule="auto"/>
              <w:rPr>
                <w:rFonts w:ascii="Arial" w:hAnsi="Arial" w:cs="Arial"/>
                <w:sz w:val="20"/>
                <w:szCs w:val="20"/>
              </w:rPr>
            </w:pPr>
            <w:r w:rsidRPr="00DA19FF">
              <w:rPr>
                <w:rFonts w:ascii="Arial" w:hAnsi="Arial" w:cs="Arial"/>
                <w:noProof/>
                <w:sz w:val="20"/>
                <w:szCs w:val="20"/>
              </w:rPr>
              <w:drawing>
                <wp:inline distT="0" distB="0" distL="0" distR="0" wp14:anchorId="56121055" wp14:editId="0E096BAB">
                  <wp:extent cx="5937250" cy="31940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250" cy="3194050"/>
                          </a:xfrm>
                          <a:prstGeom prst="rect">
                            <a:avLst/>
                          </a:prstGeom>
                          <a:noFill/>
                          <a:ln>
                            <a:noFill/>
                          </a:ln>
                        </pic:spPr>
                      </pic:pic>
                    </a:graphicData>
                  </a:graphic>
                </wp:inline>
              </w:drawing>
            </w:r>
          </w:p>
          <w:p w:rsidR="00A66E40" w:rsidRPr="00DA19FF" w:rsidRDefault="00A66E40" w:rsidP="00D21307">
            <w:pPr>
              <w:spacing w:after="0" w:line="240" w:lineRule="auto"/>
              <w:rPr>
                <w:rFonts w:ascii="Arial" w:hAnsi="Arial" w:cs="Arial"/>
                <w:sz w:val="20"/>
                <w:szCs w:val="20"/>
              </w:rPr>
            </w:pPr>
          </w:p>
          <w:p w:rsidR="00A66E40" w:rsidRPr="00DA19FF" w:rsidRDefault="00A66E40" w:rsidP="00A66E40">
            <w:pPr>
              <w:spacing w:after="0" w:line="240" w:lineRule="auto"/>
              <w:rPr>
                <w:rFonts w:ascii="Arial" w:hAnsi="Arial" w:cs="Arial"/>
                <w:sz w:val="20"/>
                <w:szCs w:val="20"/>
              </w:rPr>
            </w:pPr>
            <w:r w:rsidRPr="00DA19FF">
              <w:rPr>
                <w:rFonts w:ascii="Arial" w:hAnsi="Arial" w:cs="Arial"/>
                <w:sz w:val="20"/>
                <w:szCs w:val="20"/>
              </w:rPr>
              <w:t>Fig. 4</w:t>
            </w:r>
            <w:r w:rsidR="00995C1F">
              <w:rPr>
                <w:rFonts w:ascii="Arial" w:hAnsi="Arial" w:cs="Arial"/>
                <w:sz w:val="20"/>
                <w:szCs w:val="20"/>
              </w:rPr>
              <w:t xml:space="preserve">. </w:t>
            </w:r>
            <w:r w:rsidRPr="00DA19FF">
              <w:rPr>
                <w:rFonts w:ascii="Arial" w:hAnsi="Arial" w:cs="Arial"/>
                <w:sz w:val="20"/>
                <w:szCs w:val="20"/>
              </w:rPr>
              <w:t xml:space="preserve"> Measured internal shear planes for the passive force test on unconfined backfill with a 30 degree skew angle showing more linear failure surfaces typical of </w:t>
            </w:r>
            <w:proofErr w:type="spellStart"/>
            <w:r w:rsidRPr="00DA19FF">
              <w:rPr>
                <w:rFonts w:ascii="Arial" w:hAnsi="Arial" w:cs="Arial"/>
                <w:sz w:val="20"/>
                <w:szCs w:val="20"/>
              </w:rPr>
              <w:t>Rankine</w:t>
            </w:r>
            <w:proofErr w:type="spellEnd"/>
            <w:r w:rsidRPr="00DA19FF">
              <w:rPr>
                <w:rFonts w:ascii="Arial" w:hAnsi="Arial" w:cs="Arial"/>
                <w:sz w:val="20"/>
                <w:szCs w:val="20"/>
              </w:rPr>
              <w:t xml:space="preserve"> failure geometry.  Note that no upper shear plane is evident.</w:t>
            </w:r>
          </w:p>
          <w:p w:rsidR="004E1277" w:rsidRPr="00DA19FF" w:rsidRDefault="004E1277" w:rsidP="00D21307">
            <w:pPr>
              <w:spacing w:after="0" w:line="240" w:lineRule="auto"/>
              <w:rPr>
                <w:rFonts w:ascii="Arial" w:hAnsi="Arial" w:cs="Arial"/>
                <w:sz w:val="20"/>
                <w:szCs w:val="20"/>
              </w:rPr>
            </w:pPr>
          </w:p>
          <w:p w:rsidR="004E1277" w:rsidRPr="00DA19FF" w:rsidRDefault="004E1277" w:rsidP="00D21307">
            <w:pPr>
              <w:spacing w:after="0" w:line="240" w:lineRule="auto"/>
              <w:rPr>
                <w:rFonts w:ascii="Arial" w:hAnsi="Arial" w:cs="Arial"/>
                <w:sz w:val="20"/>
                <w:szCs w:val="20"/>
              </w:rPr>
            </w:pPr>
          </w:p>
          <w:p w:rsidR="0072768C" w:rsidRDefault="0072768C" w:rsidP="00D9621A">
            <w:pPr>
              <w:spacing w:after="0" w:line="240" w:lineRule="auto"/>
              <w:rPr>
                <w:rFonts w:ascii="Arial" w:hAnsi="Arial" w:cs="Arial"/>
                <w:b/>
                <w:sz w:val="20"/>
                <w:szCs w:val="20"/>
              </w:rPr>
            </w:pPr>
          </w:p>
          <w:p w:rsidR="0072768C" w:rsidRPr="00DA19FF" w:rsidRDefault="0072768C" w:rsidP="00D9621A">
            <w:pPr>
              <w:spacing w:after="0" w:line="240" w:lineRule="auto"/>
              <w:rPr>
                <w:rFonts w:ascii="Arial" w:hAnsi="Arial" w:cs="Arial"/>
                <w:b/>
                <w:sz w:val="20"/>
                <w:szCs w:val="20"/>
              </w:rPr>
            </w:pPr>
          </w:p>
          <w:p w:rsidR="00D21307" w:rsidRPr="00360664" w:rsidRDefault="00D21307" w:rsidP="00D9621A">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72768C">
            <w:pPr>
              <w:keepNext/>
              <w:keepLines/>
              <w:spacing w:after="0" w:line="240" w:lineRule="auto"/>
              <w:rPr>
                <w:rFonts w:ascii="Arial" w:hAnsi="Arial" w:cs="Arial"/>
                <w:sz w:val="20"/>
                <w:szCs w:val="20"/>
              </w:rPr>
            </w:pPr>
          </w:p>
          <w:p w:rsidR="000C209F" w:rsidRPr="00360664" w:rsidRDefault="006F152A" w:rsidP="00360664">
            <w:pPr>
              <w:spacing w:after="0" w:line="240" w:lineRule="auto"/>
              <w:rPr>
                <w:rFonts w:ascii="Arial" w:hAnsi="Arial" w:cs="Arial"/>
                <w:sz w:val="20"/>
                <w:szCs w:val="20"/>
              </w:rPr>
            </w:pPr>
            <w:r>
              <w:rPr>
                <w:rFonts w:ascii="Arial" w:hAnsi="Arial" w:cs="Arial"/>
                <w:sz w:val="20"/>
                <w:szCs w:val="20"/>
              </w:rPr>
              <w:t xml:space="preserve">After the </w:t>
            </w:r>
            <w:r w:rsidR="003E66E1">
              <w:rPr>
                <w:rFonts w:ascii="Arial" w:hAnsi="Arial" w:cs="Arial"/>
                <w:sz w:val="20"/>
                <w:szCs w:val="20"/>
              </w:rPr>
              <w:t xml:space="preserve">original </w:t>
            </w:r>
            <w:r>
              <w:rPr>
                <w:rFonts w:ascii="Arial" w:hAnsi="Arial" w:cs="Arial"/>
                <w:sz w:val="20"/>
                <w:szCs w:val="20"/>
              </w:rPr>
              <w:t xml:space="preserve">contract was authorized, additional funding was committed to the project by </w:t>
            </w:r>
            <w:r w:rsidR="003E66E1">
              <w:rPr>
                <w:rFonts w:ascii="Arial" w:hAnsi="Arial" w:cs="Arial"/>
                <w:sz w:val="20"/>
                <w:szCs w:val="20"/>
              </w:rPr>
              <w:t>other states and FHWA</w:t>
            </w:r>
            <w:r>
              <w:rPr>
                <w:rFonts w:ascii="Arial" w:hAnsi="Arial" w:cs="Arial"/>
                <w:sz w:val="20"/>
                <w:szCs w:val="20"/>
              </w:rPr>
              <w:t>.  With these new funds, the scope of work will be expanded to include more features in the field testing.  This could cause the schedule to shift to compensate for the extra work.</w:t>
            </w:r>
            <w:r w:rsidR="002F297C">
              <w:rPr>
                <w:rFonts w:ascii="Arial" w:hAnsi="Arial" w:cs="Arial"/>
                <w:sz w:val="20"/>
                <w:szCs w:val="20"/>
              </w:rPr>
              <w:t xml:space="preserve">  </w:t>
            </w:r>
            <w:r w:rsidR="000D5564">
              <w:rPr>
                <w:rFonts w:ascii="Arial" w:hAnsi="Arial" w:cs="Arial"/>
                <w:sz w:val="20"/>
                <w:szCs w:val="20"/>
              </w:rPr>
              <w:t xml:space="preserve">The recommended solution is to get input from the TAC and </w:t>
            </w:r>
            <w:r w:rsidR="00CE6E70">
              <w:rPr>
                <w:rFonts w:ascii="Arial" w:hAnsi="Arial" w:cs="Arial"/>
                <w:sz w:val="20"/>
                <w:szCs w:val="20"/>
              </w:rPr>
              <w:t xml:space="preserve">then </w:t>
            </w:r>
            <w:r w:rsidR="000D5564">
              <w:rPr>
                <w:rFonts w:ascii="Arial" w:hAnsi="Arial" w:cs="Arial"/>
                <w:sz w:val="20"/>
                <w:szCs w:val="20"/>
              </w:rPr>
              <w:t>modify the contract scope, amount, and schedule as needed</w:t>
            </w:r>
            <w:r w:rsidR="00EB2939">
              <w:rPr>
                <w:rFonts w:ascii="Arial" w:hAnsi="Arial" w:cs="Arial"/>
                <w:sz w:val="20"/>
                <w:szCs w:val="20"/>
              </w:rPr>
              <w:t>,</w:t>
            </w:r>
            <w:r w:rsidR="00137917">
              <w:rPr>
                <w:rFonts w:ascii="Arial" w:hAnsi="Arial" w:cs="Arial"/>
                <w:sz w:val="20"/>
                <w:szCs w:val="20"/>
              </w:rPr>
              <w:t xml:space="preserve"> while </w:t>
            </w:r>
            <w:r w:rsidR="00EB1FF4">
              <w:rPr>
                <w:rFonts w:ascii="Arial" w:hAnsi="Arial" w:cs="Arial"/>
                <w:sz w:val="20"/>
                <w:szCs w:val="20"/>
              </w:rPr>
              <w:t xml:space="preserve">limiting the shift </w:t>
            </w:r>
            <w:r w:rsidR="00073187">
              <w:rPr>
                <w:rFonts w:ascii="Arial" w:hAnsi="Arial" w:cs="Arial"/>
                <w:sz w:val="20"/>
                <w:szCs w:val="20"/>
              </w:rPr>
              <w:t xml:space="preserve">in </w:t>
            </w:r>
            <w:r w:rsidR="00EB1FF4">
              <w:rPr>
                <w:rFonts w:ascii="Arial" w:hAnsi="Arial" w:cs="Arial"/>
                <w:sz w:val="20"/>
                <w:szCs w:val="20"/>
              </w:rPr>
              <w:t xml:space="preserve">project </w:t>
            </w:r>
            <w:r w:rsidR="00A473E8">
              <w:rPr>
                <w:rFonts w:ascii="Arial" w:hAnsi="Arial" w:cs="Arial"/>
                <w:sz w:val="20"/>
                <w:szCs w:val="20"/>
              </w:rPr>
              <w:t>end</w:t>
            </w:r>
            <w:r w:rsidR="00EB1FF4">
              <w:rPr>
                <w:rFonts w:ascii="Arial" w:hAnsi="Arial" w:cs="Arial"/>
                <w:sz w:val="20"/>
                <w:szCs w:val="20"/>
              </w:rPr>
              <w:t xml:space="preserve"> date.</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36066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 but no final decision has been made at this point.</w:t>
            </w:r>
            <w:r w:rsidR="007C7425">
              <w:rPr>
                <w:rFonts w:ascii="Arial" w:hAnsi="Arial" w:cs="Arial"/>
                <w:sz w:val="20"/>
                <w:szCs w:val="20"/>
              </w:rPr>
              <w:t xml:space="preserve">  With BYU’s help, UDOT plans to get the topic and research results on the agenda of the relevant AASHTO committee(s)/</w:t>
            </w:r>
            <w:r w:rsidR="00D96CC4">
              <w:rPr>
                <w:rFonts w:ascii="Arial" w:hAnsi="Arial" w:cs="Arial"/>
                <w:sz w:val="20"/>
                <w:szCs w:val="20"/>
              </w:rPr>
              <w:t>subcommittee(s) meetings in 2013</w:t>
            </w:r>
            <w:r w:rsidR="007C7425">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6B1" w:rsidRDefault="00A316B1" w:rsidP="00106C83">
      <w:pPr>
        <w:spacing w:after="0" w:line="240" w:lineRule="auto"/>
      </w:pPr>
      <w:r>
        <w:separator/>
      </w:r>
    </w:p>
  </w:endnote>
  <w:endnote w:type="continuationSeparator" w:id="0">
    <w:p w:rsidR="00A316B1" w:rsidRDefault="00A316B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6B1" w:rsidRDefault="00A316B1" w:rsidP="00106C83">
      <w:pPr>
        <w:spacing w:after="0" w:line="240" w:lineRule="auto"/>
      </w:pPr>
      <w:r>
        <w:separator/>
      </w:r>
    </w:p>
  </w:footnote>
  <w:footnote w:type="continuationSeparator" w:id="0">
    <w:p w:rsidR="00A316B1" w:rsidRDefault="00A316B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24EB"/>
    <w:rsid w:val="0001316D"/>
    <w:rsid w:val="00016AE5"/>
    <w:rsid w:val="00017414"/>
    <w:rsid w:val="0002238F"/>
    <w:rsid w:val="00024AD3"/>
    <w:rsid w:val="00024D45"/>
    <w:rsid w:val="00030362"/>
    <w:rsid w:val="00037FBC"/>
    <w:rsid w:val="00046B7B"/>
    <w:rsid w:val="00046DCA"/>
    <w:rsid w:val="00051A77"/>
    <w:rsid w:val="00060908"/>
    <w:rsid w:val="00061268"/>
    <w:rsid w:val="000653BA"/>
    <w:rsid w:val="00073187"/>
    <w:rsid w:val="000736BB"/>
    <w:rsid w:val="00085BB4"/>
    <w:rsid w:val="000868D6"/>
    <w:rsid w:val="00087DC0"/>
    <w:rsid w:val="00090579"/>
    <w:rsid w:val="000A0D23"/>
    <w:rsid w:val="000A3874"/>
    <w:rsid w:val="000A7C22"/>
    <w:rsid w:val="000B07E1"/>
    <w:rsid w:val="000B0BF9"/>
    <w:rsid w:val="000B1518"/>
    <w:rsid w:val="000B16C9"/>
    <w:rsid w:val="000B4D66"/>
    <w:rsid w:val="000B665A"/>
    <w:rsid w:val="000C209F"/>
    <w:rsid w:val="000D03B0"/>
    <w:rsid w:val="000D2852"/>
    <w:rsid w:val="000D5564"/>
    <w:rsid w:val="000E1032"/>
    <w:rsid w:val="000E112D"/>
    <w:rsid w:val="000E507B"/>
    <w:rsid w:val="000F2BDF"/>
    <w:rsid w:val="000F752B"/>
    <w:rsid w:val="00106C83"/>
    <w:rsid w:val="00107256"/>
    <w:rsid w:val="00114475"/>
    <w:rsid w:val="001147C8"/>
    <w:rsid w:val="00122DE0"/>
    <w:rsid w:val="001315D7"/>
    <w:rsid w:val="00135591"/>
    <w:rsid w:val="00137917"/>
    <w:rsid w:val="001547D0"/>
    <w:rsid w:val="00161153"/>
    <w:rsid w:val="00165AF3"/>
    <w:rsid w:val="00166282"/>
    <w:rsid w:val="00171866"/>
    <w:rsid w:val="0017440A"/>
    <w:rsid w:val="00174483"/>
    <w:rsid w:val="0018433C"/>
    <w:rsid w:val="00190459"/>
    <w:rsid w:val="00191F1F"/>
    <w:rsid w:val="001A1AE4"/>
    <w:rsid w:val="001A2E6F"/>
    <w:rsid w:val="001C0A2C"/>
    <w:rsid w:val="001C1E3F"/>
    <w:rsid w:val="001C453E"/>
    <w:rsid w:val="001D252A"/>
    <w:rsid w:val="001D2FB4"/>
    <w:rsid w:val="001D41FE"/>
    <w:rsid w:val="001D7CE2"/>
    <w:rsid w:val="001F1101"/>
    <w:rsid w:val="001F2C0D"/>
    <w:rsid w:val="00200D49"/>
    <w:rsid w:val="00203758"/>
    <w:rsid w:val="0020693E"/>
    <w:rsid w:val="002118B8"/>
    <w:rsid w:val="00214283"/>
    <w:rsid w:val="0021446D"/>
    <w:rsid w:val="002179C7"/>
    <w:rsid w:val="002414F7"/>
    <w:rsid w:val="002430E2"/>
    <w:rsid w:val="002442E9"/>
    <w:rsid w:val="00244A9E"/>
    <w:rsid w:val="00245D5B"/>
    <w:rsid w:val="00251CA0"/>
    <w:rsid w:val="002651F7"/>
    <w:rsid w:val="00273AF9"/>
    <w:rsid w:val="00281317"/>
    <w:rsid w:val="00284500"/>
    <w:rsid w:val="002853AE"/>
    <w:rsid w:val="00291F1C"/>
    <w:rsid w:val="00293FD8"/>
    <w:rsid w:val="002A79C8"/>
    <w:rsid w:val="002B3883"/>
    <w:rsid w:val="002B7515"/>
    <w:rsid w:val="002C2C0A"/>
    <w:rsid w:val="002D353E"/>
    <w:rsid w:val="002D7EAE"/>
    <w:rsid w:val="002E1C50"/>
    <w:rsid w:val="002F297C"/>
    <w:rsid w:val="002F6883"/>
    <w:rsid w:val="00303BFD"/>
    <w:rsid w:val="00305F9D"/>
    <w:rsid w:val="00315979"/>
    <w:rsid w:val="00315C13"/>
    <w:rsid w:val="00317414"/>
    <w:rsid w:val="00334F67"/>
    <w:rsid w:val="003372CD"/>
    <w:rsid w:val="00342603"/>
    <w:rsid w:val="00343A4D"/>
    <w:rsid w:val="00360664"/>
    <w:rsid w:val="00362F45"/>
    <w:rsid w:val="003778DA"/>
    <w:rsid w:val="00377A0F"/>
    <w:rsid w:val="00377C30"/>
    <w:rsid w:val="00382110"/>
    <w:rsid w:val="0038529F"/>
    <w:rsid w:val="0038583B"/>
    <w:rsid w:val="00386FBE"/>
    <w:rsid w:val="0038705A"/>
    <w:rsid w:val="0039780C"/>
    <w:rsid w:val="003B5F9F"/>
    <w:rsid w:val="003D152A"/>
    <w:rsid w:val="003D335D"/>
    <w:rsid w:val="003E0A8C"/>
    <w:rsid w:val="003E66E1"/>
    <w:rsid w:val="003F5E66"/>
    <w:rsid w:val="00405620"/>
    <w:rsid w:val="0041082D"/>
    <w:rsid w:val="004144E6"/>
    <w:rsid w:val="004156B2"/>
    <w:rsid w:val="00420CDC"/>
    <w:rsid w:val="00422952"/>
    <w:rsid w:val="0042620F"/>
    <w:rsid w:val="004311BD"/>
    <w:rsid w:val="00431830"/>
    <w:rsid w:val="0043487E"/>
    <w:rsid w:val="00437734"/>
    <w:rsid w:val="0045218A"/>
    <w:rsid w:val="00452909"/>
    <w:rsid w:val="004700F8"/>
    <w:rsid w:val="0048010A"/>
    <w:rsid w:val="00481D31"/>
    <w:rsid w:val="00482FE6"/>
    <w:rsid w:val="004863B7"/>
    <w:rsid w:val="0048775B"/>
    <w:rsid w:val="004913CE"/>
    <w:rsid w:val="004A17C6"/>
    <w:rsid w:val="004A6232"/>
    <w:rsid w:val="004D06CA"/>
    <w:rsid w:val="004D4DEB"/>
    <w:rsid w:val="004D5EEE"/>
    <w:rsid w:val="004D6151"/>
    <w:rsid w:val="004E1277"/>
    <w:rsid w:val="004E14DC"/>
    <w:rsid w:val="004E4A6C"/>
    <w:rsid w:val="005030A0"/>
    <w:rsid w:val="00504823"/>
    <w:rsid w:val="005121CC"/>
    <w:rsid w:val="00512C79"/>
    <w:rsid w:val="005273BD"/>
    <w:rsid w:val="005319EF"/>
    <w:rsid w:val="005341AD"/>
    <w:rsid w:val="00535598"/>
    <w:rsid w:val="00535AE5"/>
    <w:rsid w:val="00536006"/>
    <w:rsid w:val="005430A7"/>
    <w:rsid w:val="00547EE3"/>
    <w:rsid w:val="0055178A"/>
    <w:rsid w:val="005519BF"/>
    <w:rsid w:val="00551D8A"/>
    <w:rsid w:val="00553822"/>
    <w:rsid w:val="00563561"/>
    <w:rsid w:val="00565E97"/>
    <w:rsid w:val="0057277E"/>
    <w:rsid w:val="005735A2"/>
    <w:rsid w:val="00574EA0"/>
    <w:rsid w:val="00581B36"/>
    <w:rsid w:val="00583E8E"/>
    <w:rsid w:val="00587266"/>
    <w:rsid w:val="00587D33"/>
    <w:rsid w:val="00592398"/>
    <w:rsid w:val="00593EF7"/>
    <w:rsid w:val="005943CF"/>
    <w:rsid w:val="00595C7E"/>
    <w:rsid w:val="00596F0D"/>
    <w:rsid w:val="005B44E1"/>
    <w:rsid w:val="005B4511"/>
    <w:rsid w:val="005C75FE"/>
    <w:rsid w:val="005D1AB2"/>
    <w:rsid w:val="005D3419"/>
    <w:rsid w:val="005D4394"/>
    <w:rsid w:val="005F6495"/>
    <w:rsid w:val="00601EBD"/>
    <w:rsid w:val="00602A2F"/>
    <w:rsid w:val="00606612"/>
    <w:rsid w:val="00606E76"/>
    <w:rsid w:val="006134D1"/>
    <w:rsid w:val="00624D30"/>
    <w:rsid w:val="00625A2B"/>
    <w:rsid w:val="00630B81"/>
    <w:rsid w:val="00640822"/>
    <w:rsid w:val="0065050F"/>
    <w:rsid w:val="00655E8E"/>
    <w:rsid w:val="006614C0"/>
    <w:rsid w:val="006642D0"/>
    <w:rsid w:val="00666BB9"/>
    <w:rsid w:val="006679DD"/>
    <w:rsid w:val="00673FC2"/>
    <w:rsid w:val="00674C11"/>
    <w:rsid w:val="006802BA"/>
    <w:rsid w:val="00682C5E"/>
    <w:rsid w:val="00697B20"/>
    <w:rsid w:val="006A2A2C"/>
    <w:rsid w:val="006A6379"/>
    <w:rsid w:val="006A7AC1"/>
    <w:rsid w:val="006A7CF2"/>
    <w:rsid w:val="006B384A"/>
    <w:rsid w:val="006B3B69"/>
    <w:rsid w:val="006B7F63"/>
    <w:rsid w:val="006C08D2"/>
    <w:rsid w:val="006C1783"/>
    <w:rsid w:val="006C378D"/>
    <w:rsid w:val="006C50DB"/>
    <w:rsid w:val="006D08E2"/>
    <w:rsid w:val="006D191C"/>
    <w:rsid w:val="006D2760"/>
    <w:rsid w:val="006D357E"/>
    <w:rsid w:val="006E0647"/>
    <w:rsid w:val="006E3372"/>
    <w:rsid w:val="006F152A"/>
    <w:rsid w:val="006F7CC5"/>
    <w:rsid w:val="00703AB4"/>
    <w:rsid w:val="00713E2D"/>
    <w:rsid w:val="00724945"/>
    <w:rsid w:val="0072768C"/>
    <w:rsid w:val="00730E85"/>
    <w:rsid w:val="00743C01"/>
    <w:rsid w:val="00746895"/>
    <w:rsid w:val="00763DDA"/>
    <w:rsid w:val="0077253C"/>
    <w:rsid w:val="00774833"/>
    <w:rsid w:val="00776729"/>
    <w:rsid w:val="007828F8"/>
    <w:rsid w:val="00785C2A"/>
    <w:rsid w:val="00787B64"/>
    <w:rsid w:val="00790C4A"/>
    <w:rsid w:val="00790F13"/>
    <w:rsid w:val="00792500"/>
    <w:rsid w:val="00795CC0"/>
    <w:rsid w:val="00796965"/>
    <w:rsid w:val="007A4135"/>
    <w:rsid w:val="007A705B"/>
    <w:rsid w:val="007A7559"/>
    <w:rsid w:val="007A7B03"/>
    <w:rsid w:val="007B1F97"/>
    <w:rsid w:val="007B1FD0"/>
    <w:rsid w:val="007B2343"/>
    <w:rsid w:val="007B29B8"/>
    <w:rsid w:val="007C1029"/>
    <w:rsid w:val="007C480F"/>
    <w:rsid w:val="007C6CEF"/>
    <w:rsid w:val="007C7425"/>
    <w:rsid w:val="007D3CE4"/>
    <w:rsid w:val="007E1260"/>
    <w:rsid w:val="007E2511"/>
    <w:rsid w:val="007E5BD2"/>
    <w:rsid w:val="007F37C3"/>
    <w:rsid w:val="0080103C"/>
    <w:rsid w:val="008202B0"/>
    <w:rsid w:val="00847103"/>
    <w:rsid w:val="00851B2E"/>
    <w:rsid w:val="00852F13"/>
    <w:rsid w:val="008564EE"/>
    <w:rsid w:val="00857904"/>
    <w:rsid w:val="008634E6"/>
    <w:rsid w:val="00866277"/>
    <w:rsid w:val="00866A9A"/>
    <w:rsid w:val="008724BF"/>
    <w:rsid w:val="00872F18"/>
    <w:rsid w:val="00874EF7"/>
    <w:rsid w:val="00883F30"/>
    <w:rsid w:val="00887DA4"/>
    <w:rsid w:val="008904D3"/>
    <w:rsid w:val="00893B22"/>
    <w:rsid w:val="008940BA"/>
    <w:rsid w:val="00894481"/>
    <w:rsid w:val="008A657D"/>
    <w:rsid w:val="008B0CE8"/>
    <w:rsid w:val="008B4FDA"/>
    <w:rsid w:val="008B5E5F"/>
    <w:rsid w:val="008C4370"/>
    <w:rsid w:val="008E3505"/>
    <w:rsid w:val="008E5998"/>
    <w:rsid w:val="008E7426"/>
    <w:rsid w:val="008E75C5"/>
    <w:rsid w:val="008E7663"/>
    <w:rsid w:val="008E7B21"/>
    <w:rsid w:val="008E7C40"/>
    <w:rsid w:val="008F5A12"/>
    <w:rsid w:val="008F74D8"/>
    <w:rsid w:val="009014A5"/>
    <w:rsid w:val="00901969"/>
    <w:rsid w:val="009171E4"/>
    <w:rsid w:val="00921B19"/>
    <w:rsid w:val="009225DF"/>
    <w:rsid w:val="00926AB3"/>
    <w:rsid w:val="00931ED8"/>
    <w:rsid w:val="00935CFF"/>
    <w:rsid w:val="00937FFC"/>
    <w:rsid w:val="00944E06"/>
    <w:rsid w:val="009454DC"/>
    <w:rsid w:val="00946E50"/>
    <w:rsid w:val="00954648"/>
    <w:rsid w:val="00957A2D"/>
    <w:rsid w:val="0096002B"/>
    <w:rsid w:val="00975E97"/>
    <w:rsid w:val="00976B8A"/>
    <w:rsid w:val="009828F4"/>
    <w:rsid w:val="009840FF"/>
    <w:rsid w:val="009946EE"/>
    <w:rsid w:val="00995C1F"/>
    <w:rsid w:val="009B2DD0"/>
    <w:rsid w:val="009B3157"/>
    <w:rsid w:val="009B699B"/>
    <w:rsid w:val="009B740C"/>
    <w:rsid w:val="009B7B23"/>
    <w:rsid w:val="009C3C41"/>
    <w:rsid w:val="009C427D"/>
    <w:rsid w:val="009D0BA2"/>
    <w:rsid w:val="009E1E5F"/>
    <w:rsid w:val="009E4397"/>
    <w:rsid w:val="009E55C1"/>
    <w:rsid w:val="009E6BAF"/>
    <w:rsid w:val="00A017A3"/>
    <w:rsid w:val="00A05976"/>
    <w:rsid w:val="00A31559"/>
    <w:rsid w:val="00A316B1"/>
    <w:rsid w:val="00A340AE"/>
    <w:rsid w:val="00A35F14"/>
    <w:rsid w:val="00A36A0C"/>
    <w:rsid w:val="00A43875"/>
    <w:rsid w:val="00A440CF"/>
    <w:rsid w:val="00A4604A"/>
    <w:rsid w:val="00A473E8"/>
    <w:rsid w:val="00A47947"/>
    <w:rsid w:val="00A544C0"/>
    <w:rsid w:val="00A63677"/>
    <w:rsid w:val="00A66E40"/>
    <w:rsid w:val="00A66FF3"/>
    <w:rsid w:val="00A747E2"/>
    <w:rsid w:val="00A81084"/>
    <w:rsid w:val="00A82D6C"/>
    <w:rsid w:val="00A83E48"/>
    <w:rsid w:val="00A9127A"/>
    <w:rsid w:val="00A96094"/>
    <w:rsid w:val="00AA28BA"/>
    <w:rsid w:val="00AA4852"/>
    <w:rsid w:val="00AA5354"/>
    <w:rsid w:val="00AB0016"/>
    <w:rsid w:val="00AB01FC"/>
    <w:rsid w:val="00AB34B7"/>
    <w:rsid w:val="00AC1D89"/>
    <w:rsid w:val="00AC659A"/>
    <w:rsid w:val="00AD1EF8"/>
    <w:rsid w:val="00AD3935"/>
    <w:rsid w:val="00AD4BB4"/>
    <w:rsid w:val="00AE46B0"/>
    <w:rsid w:val="00AF4274"/>
    <w:rsid w:val="00B00FEE"/>
    <w:rsid w:val="00B01C66"/>
    <w:rsid w:val="00B05A7A"/>
    <w:rsid w:val="00B15416"/>
    <w:rsid w:val="00B2185C"/>
    <w:rsid w:val="00B25DF4"/>
    <w:rsid w:val="00B30F4C"/>
    <w:rsid w:val="00B322A6"/>
    <w:rsid w:val="00B40E5D"/>
    <w:rsid w:val="00B412BA"/>
    <w:rsid w:val="00B44C2D"/>
    <w:rsid w:val="00B5200A"/>
    <w:rsid w:val="00B52061"/>
    <w:rsid w:val="00B53C27"/>
    <w:rsid w:val="00B56ED8"/>
    <w:rsid w:val="00B61EC4"/>
    <w:rsid w:val="00B65E0D"/>
    <w:rsid w:val="00B66A21"/>
    <w:rsid w:val="00B94EDA"/>
    <w:rsid w:val="00B955C2"/>
    <w:rsid w:val="00BA3C12"/>
    <w:rsid w:val="00BB50A2"/>
    <w:rsid w:val="00BC1654"/>
    <w:rsid w:val="00BC7C1D"/>
    <w:rsid w:val="00BD1068"/>
    <w:rsid w:val="00BD26AD"/>
    <w:rsid w:val="00BD6FE0"/>
    <w:rsid w:val="00BF6E2C"/>
    <w:rsid w:val="00C13753"/>
    <w:rsid w:val="00C151B0"/>
    <w:rsid w:val="00C16017"/>
    <w:rsid w:val="00C165A8"/>
    <w:rsid w:val="00C21017"/>
    <w:rsid w:val="00C27F65"/>
    <w:rsid w:val="00C30C5F"/>
    <w:rsid w:val="00C36682"/>
    <w:rsid w:val="00C37B0F"/>
    <w:rsid w:val="00C42324"/>
    <w:rsid w:val="00C431AE"/>
    <w:rsid w:val="00C478EA"/>
    <w:rsid w:val="00C516D4"/>
    <w:rsid w:val="00C71194"/>
    <w:rsid w:val="00C72115"/>
    <w:rsid w:val="00C818EE"/>
    <w:rsid w:val="00C81D00"/>
    <w:rsid w:val="00C82ED6"/>
    <w:rsid w:val="00C83845"/>
    <w:rsid w:val="00C87783"/>
    <w:rsid w:val="00C912D3"/>
    <w:rsid w:val="00CB5A0B"/>
    <w:rsid w:val="00CB67EA"/>
    <w:rsid w:val="00CC52E9"/>
    <w:rsid w:val="00CC696B"/>
    <w:rsid w:val="00CE27F9"/>
    <w:rsid w:val="00CE2EA8"/>
    <w:rsid w:val="00CE3B3D"/>
    <w:rsid w:val="00CE6E70"/>
    <w:rsid w:val="00CF17C4"/>
    <w:rsid w:val="00CF1F0B"/>
    <w:rsid w:val="00CF46D1"/>
    <w:rsid w:val="00D056BA"/>
    <w:rsid w:val="00D06294"/>
    <w:rsid w:val="00D21307"/>
    <w:rsid w:val="00D2368C"/>
    <w:rsid w:val="00D25918"/>
    <w:rsid w:val="00D2670A"/>
    <w:rsid w:val="00D43BD0"/>
    <w:rsid w:val="00D613A8"/>
    <w:rsid w:val="00D73388"/>
    <w:rsid w:val="00D74CFF"/>
    <w:rsid w:val="00D77EDD"/>
    <w:rsid w:val="00D854DF"/>
    <w:rsid w:val="00D86931"/>
    <w:rsid w:val="00D92CCD"/>
    <w:rsid w:val="00D9621A"/>
    <w:rsid w:val="00D96CC4"/>
    <w:rsid w:val="00D9730D"/>
    <w:rsid w:val="00DA19FF"/>
    <w:rsid w:val="00DA326B"/>
    <w:rsid w:val="00DA4AE9"/>
    <w:rsid w:val="00DB0536"/>
    <w:rsid w:val="00DC08E0"/>
    <w:rsid w:val="00DC6E86"/>
    <w:rsid w:val="00DC7143"/>
    <w:rsid w:val="00DD27D3"/>
    <w:rsid w:val="00DD73F6"/>
    <w:rsid w:val="00DE164C"/>
    <w:rsid w:val="00DE2E58"/>
    <w:rsid w:val="00DF417A"/>
    <w:rsid w:val="00E10DDE"/>
    <w:rsid w:val="00E14D7B"/>
    <w:rsid w:val="00E17737"/>
    <w:rsid w:val="00E2080A"/>
    <w:rsid w:val="00E2742E"/>
    <w:rsid w:val="00E3095B"/>
    <w:rsid w:val="00E35E0F"/>
    <w:rsid w:val="00E36F6B"/>
    <w:rsid w:val="00E371D1"/>
    <w:rsid w:val="00E474E4"/>
    <w:rsid w:val="00E4772C"/>
    <w:rsid w:val="00E53738"/>
    <w:rsid w:val="00E57A9E"/>
    <w:rsid w:val="00E60CF9"/>
    <w:rsid w:val="00E6793C"/>
    <w:rsid w:val="00E92CC3"/>
    <w:rsid w:val="00E93241"/>
    <w:rsid w:val="00EA066E"/>
    <w:rsid w:val="00EA1521"/>
    <w:rsid w:val="00EA6697"/>
    <w:rsid w:val="00EA685B"/>
    <w:rsid w:val="00EA736A"/>
    <w:rsid w:val="00EB1FF4"/>
    <w:rsid w:val="00EB2939"/>
    <w:rsid w:val="00EB3919"/>
    <w:rsid w:val="00EB3A0C"/>
    <w:rsid w:val="00EC2F36"/>
    <w:rsid w:val="00EC46C1"/>
    <w:rsid w:val="00ED5F67"/>
    <w:rsid w:val="00ED70D8"/>
    <w:rsid w:val="00EF0113"/>
    <w:rsid w:val="00EF08AE"/>
    <w:rsid w:val="00EF2647"/>
    <w:rsid w:val="00EF5790"/>
    <w:rsid w:val="00EF628E"/>
    <w:rsid w:val="00F00102"/>
    <w:rsid w:val="00F006CC"/>
    <w:rsid w:val="00F02EE5"/>
    <w:rsid w:val="00F05169"/>
    <w:rsid w:val="00F0602A"/>
    <w:rsid w:val="00F060A8"/>
    <w:rsid w:val="00F15F19"/>
    <w:rsid w:val="00F17B3D"/>
    <w:rsid w:val="00F273DC"/>
    <w:rsid w:val="00F31388"/>
    <w:rsid w:val="00F35DA2"/>
    <w:rsid w:val="00F40A56"/>
    <w:rsid w:val="00F46A2A"/>
    <w:rsid w:val="00F53596"/>
    <w:rsid w:val="00F53D1A"/>
    <w:rsid w:val="00F56754"/>
    <w:rsid w:val="00F67B08"/>
    <w:rsid w:val="00F7183A"/>
    <w:rsid w:val="00F71A29"/>
    <w:rsid w:val="00F977B4"/>
    <w:rsid w:val="00FA47AB"/>
    <w:rsid w:val="00FA60A5"/>
    <w:rsid w:val="00FB3FC0"/>
    <w:rsid w:val="00FC7BF7"/>
    <w:rsid w:val="00FD3F3F"/>
    <w:rsid w:val="00FD42AC"/>
    <w:rsid w:val="00FD7A44"/>
    <w:rsid w:val="00FE1AD2"/>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spacing w:line="240" w:lineRule="auto"/>
      <w:ind w:left="0" w:firstLine="0"/>
      <w:jc w:val="center"/>
    </w:pPr>
    <w:rPr>
      <w:bCs/>
      <w:szCs w:val="18"/>
    </w:rPr>
  </w:style>
  <w:style w:type="character" w:styleId="Emphasis">
    <w:name w:val="Emphasis"/>
    <w:basedOn w:val="DefaultParagraphFont"/>
    <w:qFormat/>
    <w:locked/>
    <w:rsid w:val="00024A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spacing w:line="240" w:lineRule="auto"/>
      <w:ind w:left="0" w:firstLine="0"/>
      <w:jc w:val="center"/>
    </w:pPr>
    <w:rPr>
      <w:bCs/>
      <w:szCs w:val="18"/>
    </w:rPr>
  </w:style>
  <w:style w:type="character" w:styleId="Emphasis">
    <w:name w:val="Emphasis"/>
    <w:basedOn w:val="DefaultParagraphFont"/>
    <w:qFormat/>
    <w:locked/>
    <w:rsid w:val="00024A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aron\Dropbox\Research\Thesis\Excel%20Files\0%20Skew%20-%205.5ft%20(Failure%20Surface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'Failure Surface'!$A$7</c:f>
              <c:strCache>
                <c:ptCount val="1"/>
                <c:pt idx="0">
                  <c:v>Upper Shear Plane</c:v>
                </c:pt>
              </c:strCache>
            </c:strRef>
          </c:tx>
          <c:spPr>
            <a:ln w="12700"/>
          </c:spPr>
          <c:xVal>
            <c:numRef>
              <c:f>'Failure Surface'!$C$8:$C$12</c:f>
              <c:numCache>
                <c:formatCode>#,##0.00</c:formatCode>
                <c:ptCount val="5"/>
                <c:pt idx="0">
                  <c:v>0</c:v>
                </c:pt>
                <c:pt idx="1">
                  <c:v>2</c:v>
                </c:pt>
                <c:pt idx="2">
                  <c:v>4</c:v>
                </c:pt>
                <c:pt idx="3">
                  <c:v>6</c:v>
                </c:pt>
                <c:pt idx="4">
                  <c:v>8</c:v>
                </c:pt>
              </c:numCache>
            </c:numRef>
          </c:xVal>
          <c:yVal>
            <c:numRef>
              <c:f>'Failure Surface'!$F$8:$F$12</c:f>
              <c:numCache>
                <c:formatCode>#,##0.00</c:formatCode>
                <c:ptCount val="5"/>
                <c:pt idx="0">
                  <c:v>0</c:v>
                </c:pt>
                <c:pt idx="1">
                  <c:v>1.770833333333333</c:v>
                </c:pt>
                <c:pt idx="2">
                  <c:v>2.8541666666666665</c:v>
                </c:pt>
                <c:pt idx="3">
                  <c:v>3.416666666666659</c:v>
                </c:pt>
                <c:pt idx="4">
                  <c:v>3.5833333333333401</c:v>
                </c:pt>
              </c:numCache>
            </c:numRef>
          </c:yVal>
          <c:smooth val="1"/>
        </c:ser>
        <c:ser>
          <c:idx val="1"/>
          <c:order val="1"/>
          <c:tx>
            <c:strRef>
              <c:f>'Failure Surface'!$A$14</c:f>
              <c:strCache>
                <c:ptCount val="1"/>
                <c:pt idx="0">
                  <c:v>Lower Shear Plane</c:v>
                </c:pt>
              </c:strCache>
            </c:strRef>
          </c:tx>
          <c:spPr>
            <a:ln w="12700"/>
          </c:spPr>
          <c:xVal>
            <c:numRef>
              <c:f>'Failure Surface'!$C$15:$C$18</c:f>
              <c:numCache>
                <c:formatCode>#,##0.00</c:formatCode>
                <c:ptCount val="4"/>
                <c:pt idx="0">
                  <c:v>0</c:v>
                </c:pt>
                <c:pt idx="1">
                  <c:v>2</c:v>
                </c:pt>
                <c:pt idx="2">
                  <c:v>6</c:v>
                </c:pt>
                <c:pt idx="3">
                  <c:v>8</c:v>
                </c:pt>
              </c:numCache>
            </c:numRef>
          </c:xVal>
          <c:yVal>
            <c:numRef>
              <c:f>'Failure Surface'!$F$15:$F$18</c:f>
              <c:numCache>
                <c:formatCode>#,##0.00</c:formatCode>
                <c:ptCount val="4"/>
                <c:pt idx="0">
                  <c:v>5.5</c:v>
                </c:pt>
                <c:pt idx="1">
                  <c:v>5.666666666666667</c:v>
                </c:pt>
                <c:pt idx="2">
                  <c:v>5.25</c:v>
                </c:pt>
                <c:pt idx="3">
                  <c:v>4.5416666666666714</c:v>
                </c:pt>
              </c:numCache>
            </c:numRef>
          </c:yVal>
          <c:smooth val="1"/>
        </c:ser>
        <c:ser>
          <c:idx val="2"/>
          <c:order val="2"/>
          <c:tx>
            <c:v>Heave</c:v>
          </c:tx>
          <c:spPr>
            <a:ln w="12700"/>
          </c:spPr>
          <c:xVal>
            <c:numRef>
              <c:f>'Failure Surface'!$B$24:$B$30</c:f>
              <c:numCache>
                <c:formatCode>General</c:formatCode>
                <c:ptCount val="7"/>
                <c:pt idx="0">
                  <c:v>0</c:v>
                </c:pt>
                <c:pt idx="1">
                  <c:v>9.4920000000000027</c:v>
                </c:pt>
                <c:pt idx="2">
                  <c:v>11.655000000000006</c:v>
                </c:pt>
                <c:pt idx="3">
                  <c:v>14.868</c:v>
                </c:pt>
                <c:pt idx="4">
                  <c:v>15.949</c:v>
                </c:pt>
                <c:pt idx="5">
                  <c:v>17.120999999999999</c:v>
                </c:pt>
                <c:pt idx="6">
                  <c:v>19.013000000000005</c:v>
                </c:pt>
              </c:numCache>
            </c:numRef>
          </c:xVal>
          <c:yVal>
            <c:numRef>
              <c:f>'Failure Surface'!$E$24:$E$30</c:f>
              <c:numCache>
                <c:formatCode>#,##0.00</c:formatCode>
                <c:ptCount val="7"/>
                <c:pt idx="0">
                  <c:v>-0.14583333333333356</c:v>
                </c:pt>
                <c:pt idx="1">
                  <c:v>-0.125</c:v>
                </c:pt>
                <c:pt idx="2">
                  <c:v>-0.1041666666666672</c:v>
                </c:pt>
                <c:pt idx="3">
                  <c:v>-8.3333333333333065E-2</c:v>
                </c:pt>
                <c:pt idx="4">
                  <c:v>-6.25E-2</c:v>
                </c:pt>
                <c:pt idx="5">
                  <c:v>-4.1666666666666956E-2</c:v>
                </c:pt>
                <c:pt idx="6">
                  <c:v>-2.0833333333333082E-2</c:v>
                </c:pt>
              </c:numCache>
            </c:numRef>
          </c:yVal>
          <c:smooth val="1"/>
        </c:ser>
        <c:ser>
          <c:idx val="3"/>
          <c:order val="3"/>
          <c:tx>
            <c:strRef>
              <c:f>'Failure Surface'!$A$32</c:f>
              <c:strCache>
                <c:ptCount val="1"/>
                <c:pt idx="0">
                  <c:v>Estimated Shear Planes</c:v>
                </c:pt>
              </c:strCache>
            </c:strRef>
          </c:tx>
          <c:spPr>
            <a:ln w="12700">
              <a:solidFill>
                <a:srgbClr val="C00000"/>
              </a:solidFill>
              <a:prstDash val="dash"/>
            </a:ln>
          </c:spPr>
          <c:marker>
            <c:spPr>
              <a:ln>
                <a:solidFill>
                  <a:srgbClr val="C00000"/>
                </a:solidFill>
              </a:ln>
            </c:spPr>
          </c:marker>
          <c:xVal>
            <c:numRef>
              <c:f>'Failure Surface'!$C$33:$C$34</c:f>
              <c:numCache>
                <c:formatCode>#,##0.00</c:formatCode>
                <c:ptCount val="2"/>
                <c:pt idx="0" formatCode="General">
                  <c:v>8</c:v>
                </c:pt>
                <c:pt idx="1">
                  <c:v>17.791399999999989</c:v>
                </c:pt>
              </c:numCache>
            </c:numRef>
          </c:xVal>
          <c:yVal>
            <c:numRef>
              <c:f>'Failure Surface'!$F$33:$F$34</c:f>
              <c:numCache>
                <c:formatCode>#,##0.00</c:formatCode>
                <c:ptCount val="2"/>
                <c:pt idx="0">
                  <c:v>4.5416666666666714</c:v>
                </c:pt>
                <c:pt idx="1">
                  <c:v>0</c:v>
                </c:pt>
              </c:numCache>
            </c:numRef>
          </c:yVal>
          <c:smooth val="1"/>
        </c:ser>
        <c:ser>
          <c:idx val="5"/>
          <c:order val="4"/>
          <c:tx>
            <c:v>Estimated Failure Line</c:v>
          </c:tx>
          <c:spPr>
            <a:ln w="12700">
              <a:solidFill>
                <a:srgbClr val="C00000"/>
              </a:solidFill>
              <a:prstDash val="dash"/>
            </a:ln>
          </c:spPr>
          <c:marker>
            <c:symbol val="x"/>
            <c:size val="5"/>
            <c:spPr>
              <a:noFill/>
              <a:ln>
                <a:solidFill>
                  <a:srgbClr val="C00000"/>
                </a:solidFill>
              </a:ln>
            </c:spPr>
          </c:marker>
          <c:xVal>
            <c:numRef>
              <c:f>'Failure Surface'!$C$35:$C$36</c:f>
              <c:numCache>
                <c:formatCode>#,##0.00</c:formatCode>
                <c:ptCount val="2"/>
                <c:pt idx="0">
                  <c:v>8</c:v>
                </c:pt>
                <c:pt idx="1">
                  <c:v>10.200000000000001</c:v>
                </c:pt>
              </c:numCache>
            </c:numRef>
          </c:xVal>
          <c:yVal>
            <c:numRef>
              <c:f>'Failure Surface'!$F$35:$F$36</c:f>
              <c:numCache>
                <c:formatCode>#,##0.00</c:formatCode>
                <c:ptCount val="2"/>
                <c:pt idx="0">
                  <c:v>3.5833333333333401</c:v>
                </c:pt>
                <c:pt idx="1">
                  <c:v>3.5124999999999935</c:v>
                </c:pt>
              </c:numCache>
            </c:numRef>
          </c:yVal>
          <c:smooth val="1"/>
        </c:ser>
        <c:dLbls>
          <c:showLegendKey val="0"/>
          <c:showVal val="0"/>
          <c:showCatName val="0"/>
          <c:showSerName val="0"/>
          <c:showPercent val="0"/>
          <c:showBubbleSize val="0"/>
        </c:dLbls>
        <c:axId val="127884672"/>
        <c:axId val="127895040"/>
      </c:scatterChart>
      <c:scatterChart>
        <c:scatterStyle val="smoothMarker"/>
        <c:varyColors val="0"/>
        <c:ser>
          <c:idx val="4"/>
          <c:order val="5"/>
          <c:tx>
            <c:v>Second Axis</c:v>
          </c:tx>
          <c:spPr>
            <a:ln w="28575" cap="rnd" cmpd="sng" algn="ctr">
              <a:noFill/>
              <a:prstDash val="solid"/>
              <a:round/>
            </a:ln>
            <a:effectLst/>
            <a:extLst>
              <a:ext uri="{91240B29-F687-4F45-9708-019B960494DF}">
                <a14:hiddenLine xmlns:a14="http://schemas.microsoft.com/office/drawing/2010/main" w="28575" cap="rnd" cmpd="sng" algn="ctr">
                  <a:solidFill>
                    <a:srgbClr val="4BACC6">
                      <a:shade val="76000"/>
                      <a:shade val="95000"/>
                      <a:satMod val="105000"/>
                    </a:srgbClr>
                  </a:solidFill>
                  <a:prstDash val="solid"/>
                  <a:round/>
                </a14:hiddenLine>
              </a:ext>
            </a:extLst>
          </c:spPr>
          <c:marker>
            <c:symbol val="none"/>
          </c:marker>
          <c:xVal>
            <c:numLit>
              <c:formatCode>General</c:formatCode>
              <c:ptCount val="1"/>
              <c:pt idx="0">
                <c:v>0</c:v>
              </c:pt>
            </c:numLit>
          </c:xVal>
          <c:yVal>
            <c:numLit>
              <c:formatCode>General</c:formatCode>
              <c:ptCount val="1"/>
              <c:pt idx="0">
                <c:v>0</c:v>
              </c:pt>
            </c:numLit>
          </c:yVal>
          <c:smooth val="1"/>
        </c:ser>
        <c:dLbls>
          <c:showLegendKey val="0"/>
          <c:showVal val="0"/>
          <c:showCatName val="0"/>
          <c:showSerName val="0"/>
          <c:showPercent val="0"/>
          <c:showBubbleSize val="0"/>
        </c:dLbls>
        <c:axId val="127903232"/>
        <c:axId val="127896960"/>
      </c:scatterChart>
      <c:valAx>
        <c:axId val="127884672"/>
        <c:scaling>
          <c:orientation val="minMax"/>
          <c:max val="20"/>
          <c:min val="0"/>
        </c:scaling>
        <c:delete val="0"/>
        <c:axPos val="b"/>
        <c:majorGridlines>
          <c:spPr>
            <a:ln w="9525" cap="flat" cmpd="sng" algn="ctr">
              <a:solidFill>
                <a:sysClr val="window" lastClr="FFFFFF">
                  <a:lumMod val="50000"/>
                </a:sysClr>
              </a:solidFill>
              <a:prstDash val="dash"/>
              <a:round/>
              <a:headEnd type="none" w="med" len="med"/>
              <a:tailEnd type="none" w="med" len="med"/>
            </a:ln>
          </c:spPr>
        </c:majorGridlines>
        <c:title>
          <c:tx>
            <c:rich>
              <a:bodyPr/>
              <a:lstStyle/>
              <a:p>
                <a:pPr>
                  <a:defRPr/>
                </a:pPr>
                <a:r>
                  <a:rPr lang="en-US"/>
                  <a:t>Distance from Cap Face on Line Parallel to Direction of Push [ft]</a:t>
                </a:r>
              </a:p>
            </c:rich>
          </c:tx>
          <c:overlay val="0"/>
        </c:title>
        <c:numFmt formatCode="#,##0" sourceLinked="0"/>
        <c:majorTickMark val="cross"/>
        <c:minorTickMark val="in"/>
        <c:tickLblPos val="nextTo"/>
        <c:spPr>
          <a:ln w="12700">
            <a:solidFill>
              <a:srgbClr val="000000"/>
            </a:solidFill>
          </a:ln>
        </c:spPr>
        <c:crossAx val="127895040"/>
        <c:crosses val="max"/>
        <c:crossBetween val="midCat"/>
      </c:valAx>
      <c:valAx>
        <c:axId val="127895040"/>
        <c:scaling>
          <c:orientation val="maxMin"/>
          <c:max val="7"/>
          <c:min val="-1"/>
        </c:scaling>
        <c:delete val="0"/>
        <c:axPos val="l"/>
        <c:majorGridlines>
          <c:spPr>
            <a:ln w="9525" cap="flat" cmpd="sng" algn="ctr">
              <a:solidFill>
                <a:sysClr val="window" lastClr="FFFFFF">
                  <a:lumMod val="50000"/>
                </a:sysClr>
              </a:solidFill>
              <a:prstDash val="dash"/>
              <a:round/>
              <a:headEnd type="none" w="med" len="med"/>
              <a:tailEnd type="none" w="med" len="med"/>
            </a:ln>
          </c:spPr>
        </c:majorGridlines>
        <c:title>
          <c:tx>
            <c:rich>
              <a:bodyPr rot="-5400000" vert="horz"/>
              <a:lstStyle/>
              <a:p>
                <a:pPr>
                  <a:defRPr/>
                </a:pPr>
                <a:r>
                  <a:rPr lang="en-US"/>
                  <a:t>Elevation Below Top of Cap [ft]</a:t>
                </a:r>
              </a:p>
            </c:rich>
          </c:tx>
          <c:overlay val="0"/>
        </c:title>
        <c:numFmt formatCode="#,##0.0" sourceLinked="0"/>
        <c:majorTickMark val="cross"/>
        <c:minorTickMark val="in"/>
        <c:tickLblPos val="nextTo"/>
        <c:spPr>
          <a:ln w="12700">
            <a:solidFill>
              <a:srgbClr val="000000"/>
            </a:solidFill>
          </a:ln>
        </c:spPr>
        <c:crossAx val="127884672"/>
        <c:crosses val="min"/>
        <c:crossBetween val="midCat"/>
      </c:valAx>
      <c:valAx>
        <c:axId val="127896960"/>
        <c:scaling>
          <c:orientation val="maxMin"/>
          <c:max val="2.1335999999999999"/>
          <c:min val="-0.30480000000000174"/>
        </c:scaling>
        <c:delete val="0"/>
        <c:axPos val="r"/>
        <c:title>
          <c:tx>
            <c:rich>
              <a:bodyPr rot="-5400000" vert="horz"/>
              <a:lstStyle/>
              <a:p>
                <a:pPr>
                  <a:defRPr/>
                </a:pPr>
                <a:r>
                  <a:rPr lang="en-US"/>
                  <a:t>Elevation Below Top of Cap [m]</a:t>
                </a:r>
              </a:p>
            </c:rich>
          </c:tx>
          <c:overlay val="0"/>
        </c:title>
        <c:numFmt formatCode="#,##0.00" sourceLinked="0"/>
        <c:majorTickMark val="cross"/>
        <c:minorTickMark val="in"/>
        <c:tickLblPos val="nextTo"/>
        <c:spPr>
          <a:ln w="12700">
            <a:solidFill>
              <a:srgbClr val="000000"/>
            </a:solidFill>
          </a:ln>
        </c:spPr>
        <c:crossAx val="127903232"/>
        <c:crosses val="max"/>
        <c:crossBetween val="midCat"/>
      </c:valAx>
      <c:valAx>
        <c:axId val="127903232"/>
        <c:scaling>
          <c:orientation val="minMax"/>
          <c:max val="6.0960000000000001"/>
          <c:min val="0"/>
        </c:scaling>
        <c:delete val="0"/>
        <c:axPos val="t"/>
        <c:title>
          <c:tx>
            <c:rich>
              <a:bodyPr/>
              <a:lstStyle/>
              <a:p>
                <a:pPr>
                  <a:defRPr/>
                </a:pPr>
                <a:r>
                  <a:rPr lang="en-US"/>
                  <a:t>Distance from Cap Face on Line Parallel to Direction of Push [m]</a:t>
                </a:r>
              </a:p>
            </c:rich>
          </c:tx>
          <c:overlay val="0"/>
        </c:title>
        <c:numFmt formatCode="General" sourceLinked="1"/>
        <c:majorTickMark val="cross"/>
        <c:minorTickMark val="in"/>
        <c:tickLblPos val="nextTo"/>
        <c:spPr>
          <a:ln w="12700">
            <a:solidFill>
              <a:srgbClr val="000000"/>
            </a:solidFill>
          </a:ln>
        </c:spPr>
        <c:crossAx val="127896960"/>
        <c:crossesAt val="-0.30480000000000174"/>
        <c:crossBetween val="midCat"/>
      </c:valAx>
      <c:spPr>
        <a:ln w="12700">
          <a:solidFill>
            <a:srgbClr val="000000"/>
          </a:solidFill>
        </a:ln>
      </c:spPr>
    </c:plotArea>
    <c:legend>
      <c:legendPos val="r"/>
      <c:legendEntry>
        <c:idx val="4"/>
        <c:delete val="1"/>
      </c:legendEntry>
      <c:legendEntry>
        <c:idx val="5"/>
        <c:delete val="1"/>
      </c:legendEntry>
      <c:layout>
        <c:manualLayout>
          <c:xMode val="edge"/>
          <c:yMode val="edge"/>
          <c:x val="0.55901709401709399"/>
          <c:y val="0.52247094113235448"/>
          <c:w val="0.28072649572649588"/>
          <c:h val="0.26927259092613426"/>
        </c:manualLayout>
      </c:layout>
      <c:overlay val="1"/>
      <c:spPr>
        <a:solidFill>
          <a:srgbClr val="FFFFFF"/>
        </a:solidFill>
        <a:ln>
          <a:solidFill>
            <a:srgbClr val="000000"/>
          </a:solidFill>
        </a:ln>
      </c:spPr>
    </c:legend>
    <c:plotVisOnly val="1"/>
    <c:dispBlanksAs val="gap"/>
    <c:showDLblsOverMax val="0"/>
  </c:chart>
  <c:spPr>
    <a:ln>
      <a:noFill/>
    </a:ln>
  </c:spPr>
  <c:txPr>
    <a:bodyPr/>
    <a:lstStyle/>
    <a:p>
      <a:pPr>
        <a:defRPr sz="1000" b="0">
          <a:latin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0.5352</cdr:x>
      <cdr:y>0.29193</cdr:y>
    </cdr:from>
    <cdr:to>
      <cdr:x>0.81817</cdr:x>
      <cdr:y>0.57765</cdr:y>
    </cdr:to>
    <cdr:grpSp>
      <cdr:nvGrpSpPr>
        <cdr:cNvPr id="9" name="Group 8"/>
        <cdr:cNvGrpSpPr/>
      </cdr:nvGrpSpPr>
      <cdr:grpSpPr>
        <a:xfrm xmlns:a="http://schemas.openxmlformats.org/drawingml/2006/main">
          <a:off x="3180988" y="907586"/>
          <a:ext cx="1681861" cy="888292"/>
          <a:chOff x="3080652" y="991685"/>
          <a:chExt cx="1681848" cy="914400"/>
        </a:xfrm>
      </cdr:grpSpPr>
      <cdr:cxnSp macro="">
        <cdr:nvCxnSpPr>
          <cdr:cNvPr id="4" name="Straight Connector 3"/>
          <cdr:cNvCxnSpPr/>
        </cdr:nvCxnSpPr>
        <cdr:spPr>
          <a:xfrm xmlns:a="http://schemas.openxmlformats.org/drawingml/2006/main">
            <a:off x="3551274" y="1446028"/>
            <a:ext cx="618390" cy="0"/>
          </a:xfrm>
          <a:prstGeom xmlns:a="http://schemas.openxmlformats.org/drawingml/2006/main" prst="line">
            <a:avLst/>
          </a:prstGeom>
          <a:ln xmlns:a="http://schemas.openxmlformats.org/drawingml/2006/main" w="1905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sp macro="" textlink="">
        <cdr:nvSpPr>
          <cdr:cNvPr id="5" name="Arc 4"/>
          <cdr:cNvSpPr/>
        </cdr:nvSpPr>
        <cdr:spPr>
          <a:xfrm xmlns:a="http://schemas.openxmlformats.org/drawingml/2006/main" rot="1825363">
            <a:off x="3080652" y="991685"/>
            <a:ext cx="914400" cy="914400"/>
          </a:xfrm>
          <a:prstGeom xmlns:a="http://schemas.openxmlformats.org/drawingml/2006/main" prst="arc">
            <a:avLst>
              <a:gd name="adj1" fmla="val 18089294"/>
              <a:gd name="adj2" fmla="val 19853351"/>
            </a:avLst>
          </a:prstGeom>
          <a:ln xmlns:a="http://schemas.openxmlformats.org/drawingml/2006/main" w="1905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wrap="square">
            <a:noAutofit/>
          </a:bodyPr>
          <a:lstStyle xmlns:a="http://schemas.openxmlformats.org/drawingml/2006/main"/>
          <a:p xmlns:a="http://schemas.openxmlformats.org/drawingml/2006/main">
            <a:endParaRPr lang="en-US"/>
          </a:p>
        </cdr:txBody>
      </cdr:sp>
      <cdr:sp macro="" textlink="">
        <cdr:nvSpPr>
          <cdr:cNvPr id="7" name="Text Box 6"/>
          <cdr:cNvSpPr txBox="1"/>
        </cdr:nvSpPr>
        <cdr:spPr>
          <a:xfrm xmlns:a="http://schemas.openxmlformats.org/drawingml/2006/main">
            <a:off x="3942892" y="1156120"/>
            <a:ext cx="819608" cy="22120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latin typeface="Symbol" pitchFamily="18" charset="2"/>
              </a:rPr>
              <a:t>a</a:t>
            </a:r>
            <a:r>
              <a:rPr lang="en-US" sz="1100" baseline="0">
                <a:latin typeface="Symbol" pitchFamily="18" charset="2"/>
              </a:rPr>
              <a:t> = 45-f/2</a:t>
            </a:r>
            <a:endParaRPr lang="en-US" sz="1100">
              <a:latin typeface="Symbol" pitchFamily="18" charset="2"/>
            </a:endParaRP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7CE0B-4434-4833-B214-39BBAFFB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2013-04-30T16:47:00Z</dcterms:created>
  <dcterms:modified xsi:type="dcterms:W3CDTF">2013-04-30T16:47:00Z</dcterms:modified>
</cp:coreProperties>
</file>