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F526C7">
        <w:rPr>
          <w:rFonts w:ascii="Arial" w:hAnsi="Arial" w:cs="Arial"/>
          <w:b/>
          <w:sz w:val="24"/>
          <w:szCs w:val="24"/>
        </w:rPr>
        <w:t>10/23</w:t>
      </w:r>
      <w:r w:rsidR="00970A34" w:rsidRPr="009C609C">
        <w:rPr>
          <w:rFonts w:ascii="Arial" w:hAnsi="Arial" w:cs="Arial"/>
          <w:b/>
          <w:sz w:val="24"/>
          <w:szCs w:val="24"/>
        </w:rPr>
        <w:t>/201</w:t>
      </w:r>
      <w:r w:rsidR="00862AA0">
        <w:rPr>
          <w:rFonts w:ascii="Arial" w:hAnsi="Arial" w:cs="Arial"/>
          <w:b/>
          <w:sz w:val="24"/>
          <w:szCs w:val="24"/>
        </w:rPr>
        <w:t>2</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FF0AFF" w:rsidRDefault="00FF0AFF" w:rsidP="00FF0AFF">
            <w:pPr>
              <w:ind w:left="360" w:right="-720" w:hanging="360"/>
              <w:rPr>
                <w:rFonts w:ascii="Arial" w:hAnsi="Arial" w:cs="Arial"/>
                <w:sz w:val="20"/>
                <w:szCs w:val="20"/>
              </w:rPr>
            </w:pPr>
            <w:r>
              <w:rPr>
                <w:rFonts w:ascii="Arial" w:hAnsi="Arial" w:cs="Arial"/>
                <w:sz w:val="20"/>
                <w:szCs w:val="20"/>
              </w:rPr>
              <w:t>_</w:t>
            </w:r>
            <w:r w:rsidR="00F526C7">
              <w:rPr>
                <w:rFonts w:ascii="Arial" w:hAnsi="Arial" w:cs="Arial"/>
                <w:sz w:val="20"/>
                <w:szCs w:val="20"/>
              </w:rPr>
              <w:t xml:space="preserve"> </w:t>
            </w:r>
            <w:r w:rsidR="00551D8A" w:rsidRPr="00FF0AFF">
              <w:rPr>
                <w:rFonts w:ascii="Arial" w:hAnsi="Arial" w:cs="Arial"/>
                <w:sz w:val="20"/>
                <w:szCs w:val="20"/>
              </w:rPr>
              <w:t>Quarter 1 (January 1 – March 31)</w:t>
            </w:r>
          </w:p>
          <w:p w:rsidR="00970A34" w:rsidRPr="00F526C7" w:rsidRDefault="00F526C7" w:rsidP="00F526C7">
            <w:pPr>
              <w:ind w:right="-720"/>
              <w:rPr>
                <w:rFonts w:ascii="Arial" w:hAnsi="Arial" w:cs="Arial"/>
                <w:sz w:val="20"/>
                <w:szCs w:val="20"/>
              </w:rPr>
            </w:pPr>
            <w:r>
              <w:rPr>
                <w:rFonts w:ascii="Arial" w:hAnsi="Arial" w:cs="Arial"/>
                <w:sz w:val="20"/>
                <w:szCs w:val="20"/>
              </w:rPr>
              <w:t>_</w:t>
            </w:r>
            <w:r>
              <w:rPr>
                <w:rFonts w:ascii="Arial" w:hAnsi="Arial" w:cs="Arial"/>
                <w:sz w:val="20"/>
                <w:szCs w:val="20"/>
              </w:rPr>
              <w:t xml:space="preserve"> </w:t>
            </w:r>
            <w:r w:rsidR="00551D8A" w:rsidRPr="00F526C7">
              <w:rPr>
                <w:rFonts w:ascii="Arial" w:hAnsi="Arial" w:cs="Arial"/>
                <w:sz w:val="20"/>
                <w:szCs w:val="20"/>
              </w:rPr>
              <w:t>Quarter 2 (April 1 – June 30)</w:t>
            </w:r>
          </w:p>
          <w:p w:rsidR="00551D8A" w:rsidRPr="00F526C7" w:rsidRDefault="00F526C7" w:rsidP="00862AA0">
            <w:pPr>
              <w:ind w:right="-720"/>
              <w:rPr>
                <w:rFonts w:ascii="Arial" w:hAnsi="Arial" w:cs="Arial"/>
                <w:b/>
                <w:i/>
                <w:sz w:val="20"/>
                <w:szCs w:val="20"/>
              </w:rPr>
            </w:pPr>
            <w:r w:rsidRPr="00F526C7">
              <w:rPr>
                <w:rFonts w:ascii="Arial" w:hAnsi="Arial" w:cs="Arial"/>
                <w:b/>
                <w:i/>
                <w:sz w:val="20"/>
                <w:szCs w:val="20"/>
                <w:u w:val="single"/>
              </w:rPr>
              <w:t>x</w:t>
            </w:r>
            <w:r w:rsidR="00862AA0" w:rsidRPr="00F526C7">
              <w:rPr>
                <w:rFonts w:ascii="Arial" w:hAnsi="Arial" w:cs="Arial"/>
                <w:b/>
                <w:i/>
                <w:sz w:val="20"/>
                <w:szCs w:val="20"/>
              </w:rPr>
              <w:t xml:space="preserve"> </w:t>
            </w:r>
            <w:r w:rsidR="00551D8A" w:rsidRPr="00F526C7">
              <w:rPr>
                <w:rFonts w:ascii="Arial" w:hAnsi="Arial" w:cs="Arial"/>
                <w:b/>
                <w:i/>
                <w:sz w:val="20"/>
                <w:szCs w:val="20"/>
              </w:rPr>
              <w:t>Quarter 3 (July 1 – September 30)</w:t>
            </w:r>
          </w:p>
          <w:p w:rsidR="00551D8A" w:rsidRPr="002D452A" w:rsidRDefault="002D452A" w:rsidP="002D452A">
            <w:pPr>
              <w:ind w:right="-720"/>
              <w:rPr>
                <w:rFonts w:ascii="Arial" w:hAnsi="Arial" w:cs="Arial"/>
                <w:b/>
                <w:sz w:val="20"/>
                <w:szCs w:val="20"/>
              </w:rPr>
            </w:pPr>
            <w:r>
              <w:rPr>
                <w:rFonts w:ascii="Arial" w:hAnsi="Arial" w:cs="Arial"/>
                <w:sz w:val="20"/>
                <w:szCs w:val="20"/>
              </w:rPr>
              <w:t>_</w:t>
            </w:r>
            <w:r w:rsidR="00862AA0" w:rsidRPr="002D452A">
              <w:rPr>
                <w:rFonts w:ascii="Arial" w:hAnsi="Arial" w:cs="Arial"/>
                <w:sz w:val="20"/>
                <w:szCs w:val="20"/>
              </w:rPr>
              <w:t xml:space="preserve"> </w:t>
            </w:r>
            <w:r w:rsidR="00581B36" w:rsidRPr="00FF0AFF">
              <w:rPr>
                <w:rFonts w:ascii="Arial" w:hAnsi="Arial" w:cs="Arial"/>
                <w:sz w:val="20"/>
                <w:szCs w:val="20"/>
              </w:rPr>
              <w:t>Quarter 4 (October 1</w:t>
            </w:r>
            <w:r w:rsidR="00551D8A" w:rsidRPr="00FF0AFF">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B66A21">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360C05" w:rsidP="00FF0AFF">
            <w:pPr>
              <w:ind w:right="-720"/>
              <w:jc w:val="center"/>
              <w:rPr>
                <w:rFonts w:ascii="Arial" w:hAnsi="Arial" w:cs="Arial"/>
                <w:b/>
                <w:sz w:val="20"/>
                <w:szCs w:val="20"/>
              </w:rPr>
            </w:pPr>
            <w:r w:rsidRPr="00360C05">
              <w:rPr>
                <w:rFonts w:ascii="Arial" w:hAnsi="Arial" w:cs="Arial"/>
                <w:b/>
                <w:sz w:val="20"/>
                <w:szCs w:val="20"/>
              </w:rPr>
              <w:t>$576,318.17</w:t>
            </w:r>
          </w:p>
        </w:tc>
        <w:tc>
          <w:tcPr>
            <w:tcW w:w="3420" w:type="dxa"/>
          </w:tcPr>
          <w:p w:rsidR="00874EF7" w:rsidRPr="009C609C" w:rsidRDefault="00874EF7" w:rsidP="00551D8A">
            <w:pPr>
              <w:ind w:right="-720"/>
              <w:rPr>
                <w:rFonts w:ascii="Arial" w:hAnsi="Arial" w:cs="Arial"/>
                <w:sz w:val="20"/>
                <w:szCs w:val="20"/>
              </w:rPr>
            </w:pPr>
          </w:p>
          <w:p w:rsidR="00874EF7" w:rsidRPr="009C609C" w:rsidRDefault="00F57DA2" w:rsidP="00F526C7">
            <w:pPr>
              <w:ind w:right="-720"/>
              <w:jc w:val="center"/>
              <w:rPr>
                <w:rFonts w:ascii="Arial" w:hAnsi="Arial" w:cs="Arial"/>
                <w:b/>
                <w:sz w:val="20"/>
                <w:szCs w:val="20"/>
              </w:rPr>
            </w:pPr>
            <w:r>
              <w:rPr>
                <w:rFonts w:ascii="Arial" w:hAnsi="Arial" w:cs="Arial"/>
                <w:b/>
                <w:sz w:val="20"/>
                <w:szCs w:val="20"/>
              </w:rPr>
              <w:t>2</w:t>
            </w:r>
            <w:r w:rsidR="00F526C7">
              <w:rPr>
                <w:rFonts w:ascii="Arial" w:hAnsi="Arial" w:cs="Arial"/>
                <w:b/>
                <w:sz w:val="20"/>
                <w:szCs w:val="20"/>
              </w:rPr>
              <w:t>5</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F57DA2" w:rsidP="00360C05">
            <w:pPr>
              <w:ind w:right="-720"/>
              <w:jc w:val="center"/>
              <w:rPr>
                <w:rFonts w:ascii="Arial" w:hAnsi="Arial" w:cs="Arial"/>
                <w:b/>
                <w:sz w:val="20"/>
                <w:szCs w:val="20"/>
              </w:rPr>
            </w:pPr>
            <w:r w:rsidRPr="00F57DA2">
              <w:rPr>
                <w:rFonts w:ascii="Arial" w:hAnsi="Arial" w:cs="Arial"/>
                <w:b/>
                <w:sz w:val="20"/>
                <w:szCs w:val="20"/>
              </w:rPr>
              <w:t>$</w:t>
            </w:r>
            <w:r w:rsidR="00360C05" w:rsidRPr="00360C05">
              <w:rPr>
                <w:rFonts w:ascii="Arial" w:hAnsi="Arial" w:cs="Arial"/>
                <w:b/>
                <w:sz w:val="20"/>
                <w:szCs w:val="20"/>
              </w:rPr>
              <w:t xml:space="preserve">93,228.52 </w:t>
            </w:r>
            <w:r w:rsidR="009C609C">
              <w:rPr>
                <w:rFonts w:ascii="Arial" w:hAnsi="Arial" w:cs="Arial"/>
                <w:b/>
                <w:sz w:val="20"/>
                <w:szCs w:val="20"/>
              </w:rPr>
              <w:t>(</w:t>
            </w:r>
            <w:r w:rsidR="00360C05">
              <w:rPr>
                <w:rFonts w:ascii="Arial" w:hAnsi="Arial" w:cs="Arial"/>
                <w:b/>
                <w:sz w:val="20"/>
                <w:szCs w:val="20"/>
              </w:rPr>
              <w:t>2.6</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9C609C" w:rsidRDefault="00360C05" w:rsidP="00970A34">
            <w:pPr>
              <w:ind w:right="-720"/>
              <w:jc w:val="center"/>
              <w:rPr>
                <w:rFonts w:ascii="Arial" w:hAnsi="Arial" w:cs="Arial"/>
                <w:b/>
                <w:sz w:val="20"/>
                <w:szCs w:val="20"/>
              </w:rPr>
            </w:pPr>
            <w:r w:rsidRPr="00360C05">
              <w:rPr>
                <w:rFonts w:ascii="Arial" w:hAnsi="Arial" w:cs="Arial"/>
                <w:b/>
                <w:sz w:val="20"/>
                <w:szCs w:val="20"/>
              </w:rPr>
              <w:t>$93,228.52</w:t>
            </w:r>
          </w:p>
        </w:tc>
        <w:tc>
          <w:tcPr>
            <w:tcW w:w="3420" w:type="dxa"/>
          </w:tcPr>
          <w:p w:rsidR="00970A34" w:rsidRPr="009C609C" w:rsidRDefault="00970A34" w:rsidP="00970A34">
            <w:pPr>
              <w:ind w:right="-720"/>
              <w:rPr>
                <w:rFonts w:ascii="Arial" w:hAnsi="Arial" w:cs="Arial"/>
                <w:sz w:val="20"/>
                <w:szCs w:val="20"/>
              </w:rPr>
            </w:pPr>
          </w:p>
          <w:p w:rsidR="00B66A21" w:rsidRPr="009C609C" w:rsidRDefault="00360C05" w:rsidP="00F57DA2">
            <w:pPr>
              <w:ind w:right="-720"/>
              <w:jc w:val="center"/>
              <w:rPr>
                <w:rFonts w:ascii="Arial" w:hAnsi="Arial" w:cs="Arial"/>
                <w:sz w:val="20"/>
                <w:szCs w:val="20"/>
              </w:rPr>
            </w:pPr>
            <w:r>
              <w:rPr>
                <w:rFonts w:ascii="Arial" w:hAnsi="Arial" w:cs="Arial"/>
                <w:b/>
                <w:sz w:val="20"/>
                <w:szCs w:val="20"/>
              </w:rPr>
              <w:t>20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p w:rsidR="00037FBC" w:rsidRPr="009C609C" w:rsidRDefault="00037FBC">
      <w:pPr>
        <w:rPr>
          <w:rFonts w:ascii="Arial" w:hAnsi="Arial" w:cs="Arial"/>
          <w:sz w:val="20"/>
          <w:szCs w:val="20"/>
        </w:rPr>
      </w:pPr>
      <w:r w:rsidRPr="009C609C">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bookmarkStart w:id="0" w:name="_GoBack"/>
            <w:bookmarkEnd w:id="0"/>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AA5DA8" w:rsidRPr="009C609C" w:rsidRDefault="00AA5DA8" w:rsidP="00AA5DA8">
            <w:pPr>
              <w:ind w:right="-18"/>
              <w:rPr>
                <w:rFonts w:ascii="Arial" w:hAnsi="Arial" w:cs="Arial"/>
                <w:sz w:val="20"/>
                <w:szCs w:val="20"/>
              </w:rPr>
            </w:pPr>
          </w:p>
          <w:p w:rsidR="002D0DB8" w:rsidRDefault="007D10BE" w:rsidP="00ED6746">
            <w:pPr>
              <w:ind w:right="-18"/>
              <w:rPr>
                <w:rFonts w:ascii="Arial" w:hAnsi="Arial" w:cs="Arial"/>
                <w:sz w:val="20"/>
                <w:szCs w:val="20"/>
              </w:rPr>
            </w:pPr>
            <w:r w:rsidRPr="007D10BE">
              <w:rPr>
                <w:rFonts w:ascii="Arial" w:hAnsi="Arial" w:cs="Arial"/>
                <w:sz w:val="20"/>
                <w:szCs w:val="20"/>
              </w:rPr>
              <w:t xml:space="preserve">The quarter began implementation of the new </w:t>
            </w:r>
            <w:r>
              <w:rPr>
                <w:rFonts w:ascii="Arial" w:hAnsi="Arial" w:cs="Arial"/>
                <w:sz w:val="20"/>
                <w:szCs w:val="20"/>
              </w:rPr>
              <w:t>management plan for the project</w:t>
            </w:r>
            <w:r w:rsidRPr="007D10BE">
              <w:rPr>
                <w:rFonts w:ascii="Arial" w:hAnsi="Arial" w:cs="Arial"/>
                <w:sz w:val="20"/>
                <w:szCs w:val="20"/>
              </w:rPr>
              <w:t xml:space="preserve"> and a new team structure.  The team membership is the same as originally proposed, with all of the originally-proposed and approved organizations again cooperating to execute the project.  The team is operating and has continued to produce results, moving the number of cases initiated from 100 to 139 and the number of closed cases from 54 on June 20, 2012 to 69 on September 20, 2012; 33 cases are open with another 7 pending on September 20, 2012 compared to 15 open and 4 pending on June 20, 2012.  The doubling of open and pending cases reflects the expected seasonal influx and workload of cases during the summer months; this backlog is expected to be reduced as the summer comes to a close.  </w:t>
            </w:r>
          </w:p>
          <w:p w:rsidR="007D10BE" w:rsidRDefault="007D10BE" w:rsidP="00ED6746">
            <w:pPr>
              <w:ind w:right="-18"/>
              <w:rPr>
                <w:rFonts w:ascii="Arial" w:hAnsi="Arial" w:cs="Arial"/>
                <w:sz w:val="20"/>
                <w:szCs w:val="20"/>
              </w:rPr>
            </w:pPr>
          </w:p>
          <w:p w:rsidR="007D10BE" w:rsidRPr="007D10BE" w:rsidRDefault="007D10BE" w:rsidP="007D10BE">
            <w:pPr>
              <w:ind w:right="-18"/>
              <w:rPr>
                <w:rFonts w:ascii="Arial" w:hAnsi="Arial" w:cs="Arial"/>
                <w:sz w:val="20"/>
                <w:szCs w:val="20"/>
              </w:rPr>
            </w:pPr>
            <w:r>
              <w:rPr>
                <w:rFonts w:ascii="Arial" w:hAnsi="Arial" w:cs="Arial"/>
                <w:sz w:val="20"/>
                <w:szCs w:val="20"/>
              </w:rPr>
              <w:t>The project PI, Dr. John Nazemetz,</w:t>
            </w:r>
            <w:r w:rsidRPr="007D10BE">
              <w:rPr>
                <w:rFonts w:ascii="Arial" w:hAnsi="Arial" w:cs="Arial"/>
                <w:sz w:val="20"/>
                <w:szCs w:val="20"/>
              </w:rPr>
              <w:t xml:space="preserve"> traveled to Anaheim, California to visit </w:t>
            </w:r>
            <w:r>
              <w:rPr>
                <w:rFonts w:ascii="Arial" w:hAnsi="Arial" w:cs="Arial"/>
                <w:sz w:val="20"/>
                <w:szCs w:val="20"/>
              </w:rPr>
              <w:t>with the crash investigation team</w:t>
            </w:r>
            <w:r w:rsidRPr="007D10BE">
              <w:rPr>
                <w:rFonts w:ascii="Arial" w:hAnsi="Arial" w:cs="Arial"/>
                <w:sz w:val="20"/>
                <w:szCs w:val="20"/>
              </w:rPr>
              <w:t xml:space="preserve"> and meet with the QC review team </w:t>
            </w:r>
            <w:r>
              <w:rPr>
                <w:rFonts w:ascii="Arial" w:hAnsi="Arial" w:cs="Arial"/>
                <w:sz w:val="20"/>
                <w:szCs w:val="20"/>
              </w:rPr>
              <w:t>on</w:t>
            </w:r>
            <w:r w:rsidRPr="007D10BE">
              <w:rPr>
                <w:rFonts w:ascii="Arial" w:hAnsi="Arial" w:cs="Arial"/>
                <w:sz w:val="20"/>
                <w:szCs w:val="20"/>
              </w:rPr>
              <w:t xml:space="preserve"> September 23-27.  He was joined by</w:t>
            </w:r>
            <w:r>
              <w:rPr>
                <w:rFonts w:ascii="Arial" w:hAnsi="Arial" w:cs="Arial"/>
                <w:sz w:val="20"/>
                <w:szCs w:val="20"/>
              </w:rPr>
              <w:t xml:space="preserve"> the FHWA</w:t>
            </w:r>
            <w:r w:rsidRPr="007D10BE">
              <w:rPr>
                <w:rFonts w:ascii="Arial" w:hAnsi="Arial" w:cs="Arial"/>
                <w:sz w:val="20"/>
                <w:szCs w:val="20"/>
              </w:rPr>
              <w:t xml:space="preserve"> AOTR</w:t>
            </w:r>
            <w:r>
              <w:rPr>
                <w:rFonts w:ascii="Arial" w:hAnsi="Arial" w:cs="Arial"/>
                <w:sz w:val="20"/>
                <w:szCs w:val="20"/>
              </w:rPr>
              <w:t>, Dr.</w:t>
            </w:r>
            <w:r w:rsidRPr="007D10BE">
              <w:rPr>
                <w:rFonts w:ascii="Arial" w:hAnsi="Arial" w:cs="Arial"/>
                <w:sz w:val="20"/>
                <w:szCs w:val="20"/>
              </w:rPr>
              <w:t xml:space="preserve"> Thor</w:t>
            </w:r>
            <w:r>
              <w:rPr>
                <w:rFonts w:ascii="Arial" w:hAnsi="Arial" w:cs="Arial"/>
                <w:sz w:val="20"/>
                <w:szCs w:val="20"/>
              </w:rPr>
              <w:t>,</w:t>
            </w:r>
            <w:r w:rsidRPr="007D10BE">
              <w:rPr>
                <w:rFonts w:ascii="Arial" w:hAnsi="Arial" w:cs="Arial"/>
                <w:sz w:val="20"/>
                <w:szCs w:val="20"/>
              </w:rPr>
              <w:t xml:space="preserve"> on the 25th to meet with the Irvine PD Chief and the Traffic Sergeant </w:t>
            </w:r>
            <w:r>
              <w:rPr>
                <w:rFonts w:ascii="Arial" w:hAnsi="Arial" w:cs="Arial"/>
                <w:sz w:val="20"/>
                <w:szCs w:val="20"/>
              </w:rPr>
              <w:t xml:space="preserve">followed by another meeting with the </w:t>
            </w:r>
            <w:r w:rsidRPr="007D10BE">
              <w:rPr>
                <w:rFonts w:ascii="Arial" w:hAnsi="Arial" w:cs="Arial"/>
                <w:sz w:val="20"/>
                <w:szCs w:val="20"/>
              </w:rPr>
              <w:t xml:space="preserve">Long Beach PD.  </w:t>
            </w:r>
            <w:r>
              <w:rPr>
                <w:rFonts w:ascii="Arial" w:hAnsi="Arial" w:cs="Arial"/>
                <w:sz w:val="20"/>
                <w:szCs w:val="20"/>
              </w:rPr>
              <w:t>The purpose of these meetings was to try and recruit the jurisdictions to participate in the study. Both departments showed strong interest in participating. Drs. Thor and</w:t>
            </w:r>
            <w:r w:rsidRPr="007D10BE">
              <w:rPr>
                <w:rFonts w:ascii="Arial" w:hAnsi="Arial" w:cs="Arial"/>
                <w:sz w:val="20"/>
                <w:szCs w:val="20"/>
              </w:rPr>
              <w:t xml:space="preserve"> Nazemetz also observe</w:t>
            </w:r>
            <w:r>
              <w:rPr>
                <w:rFonts w:ascii="Arial" w:hAnsi="Arial" w:cs="Arial"/>
                <w:sz w:val="20"/>
                <w:szCs w:val="20"/>
              </w:rPr>
              <w:t>d</w:t>
            </w:r>
            <w:r w:rsidRPr="007D10BE">
              <w:rPr>
                <w:rFonts w:ascii="Arial" w:hAnsi="Arial" w:cs="Arial"/>
                <w:sz w:val="20"/>
                <w:szCs w:val="20"/>
              </w:rPr>
              <w:t xml:space="preserve"> the field operations</w:t>
            </w:r>
            <w:r>
              <w:rPr>
                <w:rFonts w:ascii="Arial" w:hAnsi="Arial" w:cs="Arial"/>
                <w:sz w:val="20"/>
                <w:szCs w:val="20"/>
              </w:rPr>
              <w:t xml:space="preserve"> of the crash investigation team while in California</w:t>
            </w:r>
            <w:r w:rsidRPr="007D10BE">
              <w:rPr>
                <w:rFonts w:ascii="Arial" w:hAnsi="Arial" w:cs="Arial"/>
                <w:sz w:val="20"/>
                <w:szCs w:val="20"/>
              </w:rPr>
              <w:t xml:space="preserve">.  </w:t>
            </w:r>
          </w:p>
          <w:p w:rsidR="007D10BE" w:rsidRDefault="007D10BE" w:rsidP="007D10BE">
            <w:pPr>
              <w:ind w:right="-18"/>
              <w:rPr>
                <w:rFonts w:ascii="Arial" w:hAnsi="Arial" w:cs="Arial"/>
                <w:sz w:val="20"/>
                <w:szCs w:val="20"/>
              </w:rPr>
            </w:pPr>
          </w:p>
          <w:p w:rsidR="002D0DB8" w:rsidRDefault="007D10BE" w:rsidP="007D10BE">
            <w:pPr>
              <w:ind w:right="-18"/>
              <w:rPr>
                <w:rFonts w:ascii="Arial" w:hAnsi="Arial" w:cs="Arial"/>
                <w:sz w:val="20"/>
                <w:szCs w:val="20"/>
              </w:rPr>
            </w:pPr>
            <w:r w:rsidRPr="007D10BE">
              <w:rPr>
                <w:rFonts w:ascii="Arial" w:hAnsi="Arial" w:cs="Arial"/>
                <w:sz w:val="20"/>
                <w:szCs w:val="20"/>
              </w:rPr>
              <w:t xml:space="preserve">Throughout the quarter, individual and conference calls were held between </w:t>
            </w:r>
            <w:r>
              <w:rPr>
                <w:rFonts w:ascii="Arial" w:hAnsi="Arial" w:cs="Arial"/>
                <w:sz w:val="20"/>
                <w:szCs w:val="20"/>
              </w:rPr>
              <w:t>the project team members as needed</w:t>
            </w:r>
            <w:r w:rsidRPr="007D10BE">
              <w:rPr>
                <w:rFonts w:ascii="Arial" w:hAnsi="Arial" w:cs="Arial"/>
                <w:sz w:val="20"/>
                <w:szCs w:val="20"/>
              </w:rPr>
              <w:t>.</w:t>
            </w:r>
            <w:r>
              <w:rPr>
                <w:rFonts w:ascii="Arial" w:hAnsi="Arial" w:cs="Arial"/>
                <w:sz w:val="20"/>
                <w:szCs w:val="20"/>
              </w:rPr>
              <w:t xml:space="preserve"> Additionally, regular conference calls are now held between OSU, FHWA, and DSI every month.</w:t>
            </w:r>
            <w:r w:rsidRPr="007D10BE">
              <w:rPr>
                <w:rFonts w:ascii="Arial" w:hAnsi="Arial" w:cs="Arial"/>
                <w:sz w:val="20"/>
                <w:szCs w:val="20"/>
              </w:rPr>
              <w:t xml:space="preserve">  </w:t>
            </w:r>
          </w:p>
          <w:p w:rsidR="002D0DB8" w:rsidRDefault="002D0DB8" w:rsidP="00ED6746">
            <w:pPr>
              <w:ind w:right="-18"/>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Pr="009C609C" w:rsidRDefault="00ED6746" w:rsidP="00ED6746">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360C05" w:rsidRPr="00360C05" w:rsidRDefault="00360C05" w:rsidP="00360C05">
            <w:pPr>
              <w:pStyle w:val="ListParagraph"/>
              <w:numPr>
                <w:ilvl w:val="0"/>
                <w:numId w:val="14"/>
              </w:numPr>
              <w:autoSpaceDE w:val="0"/>
              <w:autoSpaceDN w:val="0"/>
              <w:adjustRightInd w:val="0"/>
              <w:rPr>
                <w:rFonts w:ascii="Arial" w:hAnsi="Arial" w:cs="Arial"/>
                <w:sz w:val="20"/>
                <w:szCs w:val="20"/>
              </w:rPr>
            </w:pPr>
            <w:r w:rsidRPr="00360C05">
              <w:rPr>
                <w:rFonts w:ascii="Arial" w:hAnsi="Arial" w:cs="Arial"/>
                <w:sz w:val="20"/>
                <w:szCs w:val="20"/>
              </w:rPr>
              <w:t>Continued motorcycle crash investigations and gathering of crash causation factor data.</w:t>
            </w:r>
          </w:p>
          <w:p w:rsidR="00360C05" w:rsidRPr="00360C05" w:rsidRDefault="00360C05" w:rsidP="00360C05">
            <w:pPr>
              <w:pStyle w:val="ListParagraph"/>
              <w:numPr>
                <w:ilvl w:val="0"/>
                <w:numId w:val="14"/>
              </w:numPr>
              <w:autoSpaceDE w:val="0"/>
              <w:autoSpaceDN w:val="0"/>
              <w:adjustRightInd w:val="0"/>
              <w:rPr>
                <w:rFonts w:ascii="Arial" w:hAnsi="Arial" w:cs="Arial"/>
                <w:sz w:val="20"/>
                <w:szCs w:val="20"/>
              </w:rPr>
            </w:pPr>
            <w:r w:rsidRPr="00360C05">
              <w:rPr>
                <w:rFonts w:ascii="Arial" w:hAnsi="Arial" w:cs="Arial"/>
                <w:sz w:val="20"/>
                <w:szCs w:val="20"/>
              </w:rPr>
              <w:t xml:space="preserve">Development and use </w:t>
            </w:r>
            <w:proofErr w:type="gramStart"/>
            <w:r w:rsidRPr="00360C05">
              <w:rPr>
                <w:rFonts w:ascii="Arial" w:hAnsi="Arial" w:cs="Arial"/>
                <w:sz w:val="20"/>
                <w:szCs w:val="20"/>
              </w:rPr>
              <w:t>o</w:t>
            </w:r>
            <w:r>
              <w:rPr>
                <w:rFonts w:ascii="Arial" w:hAnsi="Arial" w:cs="Arial"/>
                <w:sz w:val="20"/>
                <w:szCs w:val="20"/>
              </w:rPr>
              <w:t>f a</w:t>
            </w:r>
            <w:proofErr w:type="gramEnd"/>
            <w:r>
              <w:rPr>
                <w:rFonts w:ascii="Arial" w:hAnsi="Arial" w:cs="Arial"/>
                <w:sz w:val="20"/>
                <w:szCs w:val="20"/>
              </w:rPr>
              <w:t xml:space="preserve"> crash reconstruction method</w:t>
            </w:r>
            <w:r w:rsidRPr="00360C05">
              <w:rPr>
                <w:rFonts w:ascii="Arial" w:hAnsi="Arial" w:cs="Arial"/>
                <w:sz w:val="20"/>
                <w:szCs w:val="20"/>
              </w:rPr>
              <w:t>s/forms to improve coding consistency of primary and contribution factors and harmonize understanding between the crash investigation staff and the QC team.</w:t>
            </w:r>
          </w:p>
          <w:p w:rsidR="00360C05" w:rsidRPr="00360C05" w:rsidRDefault="00360C05" w:rsidP="00360C05">
            <w:pPr>
              <w:pStyle w:val="ListParagraph"/>
              <w:numPr>
                <w:ilvl w:val="0"/>
                <w:numId w:val="14"/>
              </w:numPr>
              <w:autoSpaceDE w:val="0"/>
              <w:autoSpaceDN w:val="0"/>
              <w:adjustRightInd w:val="0"/>
              <w:rPr>
                <w:rFonts w:ascii="Arial" w:hAnsi="Arial" w:cs="Arial"/>
                <w:sz w:val="20"/>
                <w:szCs w:val="20"/>
              </w:rPr>
            </w:pPr>
            <w:r w:rsidRPr="00360C05">
              <w:rPr>
                <w:rFonts w:ascii="Arial" w:hAnsi="Arial" w:cs="Arial"/>
                <w:sz w:val="20"/>
                <w:szCs w:val="20"/>
              </w:rPr>
              <w:t xml:space="preserve">Pursuit of actions to assure and enlarge the support of law enforcement agencies in the study.  Contact with agencies to inform them of the progress of the study/Issue semi-annual update/report </w:t>
            </w:r>
          </w:p>
          <w:p w:rsidR="00360C05" w:rsidRPr="00360C05" w:rsidRDefault="00360C05" w:rsidP="00360C05">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Finalization of plans </w:t>
            </w:r>
            <w:r w:rsidRPr="00360C05">
              <w:rPr>
                <w:rFonts w:ascii="Arial" w:hAnsi="Arial" w:cs="Arial"/>
                <w:sz w:val="20"/>
                <w:szCs w:val="20"/>
              </w:rPr>
              <w:t xml:space="preserve">for the statistical analysis to be performed on the first 100 completed crash investigations.  This analysis (anticipated to be initiated in the first quarter of 2013) will serve to prove out the analysis process and enable preliminary data review.  </w:t>
            </w:r>
          </w:p>
          <w:p w:rsidR="00360C05" w:rsidRPr="00360C05" w:rsidRDefault="00360C05" w:rsidP="00360C05">
            <w:pPr>
              <w:pStyle w:val="ListParagraph"/>
              <w:numPr>
                <w:ilvl w:val="0"/>
                <w:numId w:val="14"/>
              </w:numPr>
              <w:autoSpaceDE w:val="0"/>
              <w:autoSpaceDN w:val="0"/>
              <w:adjustRightInd w:val="0"/>
              <w:rPr>
                <w:rFonts w:ascii="Arial" w:hAnsi="Arial" w:cs="Arial"/>
                <w:sz w:val="20"/>
                <w:szCs w:val="20"/>
              </w:rPr>
            </w:pPr>
            <w:r w:rsidRPr="00360C05">
              <w:rPr>
                <w:rFonts w:ascii="Arial" w:hAnsi="Arial" w:cs="Arial"/>
                <w:sz w:val="20"/>
                <w:szCs w:val="20"/>
              </w:rPr>
              <w:t>Identification and initial training of OSU students to support the study; their anticipated primary activity will be in support of data analysis.</w:t>
            </w:r>
          </w:p>
          <w:p w:rsidR="00360C05" w:rsidRPr="00360C05" w:rsidRDefault="00360C05" w:rsidP="00360C05">
            <w:pPr>
              <w:pStyle w:val="ListParagraph"/>
              <w:numPr>
                <w:ilvl w:val="0"/>
                <w:numId w:val="14"/>
              </w:numPr>
              <w:autoSpaceDE w:val="0"/>
              <w:autoSpaceDN w:val="0"/>
              <w:adjustRightInd w:val="0"/>
              <w:rPr>
                <w:rFonts w:ascii="Arial" w:hAnsi="Arial" w:cs="Arial"/>
                <w:sz w:val="20"/>
                <w:szCs w:val="20"/>
              </w:rPr>
            </w:pPr>
            <w:r w:rsidRPr="00360C05">
              <w:rPr>
                <w:rFonts w:ascii="Arial" w:hAnsi="Arial" w:cs="Arial"/>
                <w:sz w:val="20"/>
                <w:szCs w:val="20"/>
              </w:rPr>
              <w:t>Determination of the timing and communication logistics of the next Project Working Group meeting and development the preliminary meeting agenda.  Provide notice to the Working Group members in early October.</w:t>
            </w:r>
          </w:p>
          <w:p w:rsidR="00A27AFB" w:rsidRPr="00A27AFB" w:rsidRDefault="00A27AFB" w:rsidP="00A27AFB">
            <w:pPr>
              <w:pStyle w:val="ListParagraph"/>
              <w:autoSpaceDE w:val="0"/>
              <w:autoSpaceDN w:val="0"/>
              <w:adjustRightInd w:val="0"/>
              <w:ind w:left="36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360C05">
              <w:rPr>
                <w:rFonts w:ascii="Arial" w:hAnsi="Arial" w:cs="Arial"/>
                <w:sz w:val="20"/>
                <w:szCs w:val="20"/>
              </w:rPr>
              <w:t>September 20</w:t>
            </w:r>
            <w:r w:rsidRPr="00ED6746">
              <w:rPr>
                <w:rFonts w:ascii="Arial" w:hAnsi="Arial" w:cs="Arial"/>
                <w:sz w:val="20"/>
                <w:szCs w:val="20"/>
              </w:rPr>
              <w:t xml:space="preserve">, </w:t>
            </w:r>
            <w:r w:rsidR="00360C05">
              <w:rPr>
                <w:rFonts w:ascii="Arial" w:hAnsi="Arial" w:cs="Arial"/>
                <w:sz w:val="20"/>
                <w:szCs w:val="20"/>
              </w:rPr>
              <w:t>139</w:t>
            </w:r>
            <w:r w:rsidRPr="00ED6746">
              <w:rPr>
                <w:rFonts w:ascii="Arial" w:hAnsi="Arial" w:cs="Arial"/>
                <w:sz w:val="20"/>
                <w:szCs w:val="20"/>
              </w:rPr>
              <w:t xml:space="preserve"> cases have been initiated. Of these, </w:t>
            </w:r>
            <w:r w:rsidR="00360C05">
              <w:rPr>
                <w:rFonts w:ascii="Arial" w:hAnsi="Arial" w:cs="Arial"/>
                <w:sz w:val="20"/>
                <w:szCs w:val="20"/>
              </w:rPr>
              <w:t>3</w:t>
            </w:r>
            <w:r w:rsidR="006404A7">
              <w:rPr>
                <w:rFonts w:ascii="Arial" w:hAnsi="Arial" w:cs="Arial"/>
                <w:sz w:val="20"/>
                <w:szCs w:val="20"/>
              </w:rPr>
              <w:t>7</w:t>
            </w:r>
            <w:r w:rsidRPr="00ED6746">
              <w:rPr>
                <w:rFonts w:ascii="Arial" w:hAnsi="Arial" w:cs="Arial"/>
                <w:sz w:val="20"/>
                <w:szCs w:val="20"/>
              </w:rPr>
              <w:t xml:space="preserve"> cases were dropped.  </w:t>
            </w:r>
            <w:r w:rsidR="00360C05">
              <w:rPr>
                <w:rFonts w:ascii="Arial" w:hAnsi="Arial" w:cs="Arial"/>
                <w:sz w:val="20"/>
                <w:szCs w:val="20"/>
              </w:rPr>
              <w:t>69</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360C05">
              <w:rPr>
                <w:rFonts w:ascii="Arial" w:hAnsi="Arial" w:cs="Arial"/>
                <w:sz w:val="20"/>
                <w:szCs w:val="20"/>
              </w:rPr>
              <w:t>33</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601EBD" w:rsidRPr="009C609C" w:rsidRDefault="00360C05" w:rsidP="00A27AFB">
            <w:pPr>
              <w:tabs>
                <w:tab w:val="left" w:pos="10692"/>
              </w:tabs>
              <w:ind w:right="72"/>
              <w:rPr>
                <w:rFonts w:ascii="Arial" w:hAnsi="Arial" w:cs="Arial"/>
                <w:b/>
                <w:sz w:val="20"/>
                <w:szCs w:val="20"/>
              </w:rPr>
            </w:pPr>
            <w:r>
              <w:rPr>
                <w:rFonts w:ascii="Arial" w:hAnsi="Arial" w:cs="Arial"/>
                <w:sz w:val="20"/>
                <w:szCs w:val="20"/>
              </w:rPr>
              <w:t>There are no circumstances currently that should affect the project timeline or budget.</w:t>
            </w:r>
          </w:p>
          <w:p w:rsidR="00601EBD" w:rsidRPr="009C609C" w:rsidRDefault="00601EBD" w:rsidP="00551D8A">
            <w:pPr>
              <w:ind w:right="-720"/>
              <w:rPr>
                <w:rFonts w:ascii="Arial" w:hAnsi="Arial" w:cs="Arial"/>
                <w:b/>
                <w:sz w:val="20"/>
                <w:szCs w:val="20"/>
              </w:rPr>
            </w:pP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AB5" w:rsidRDefault="00FB4AB5" w:rsidP="00106C83">
      <w:pPr>
        <w:spacing w:after="0" w:line="240" w:lineRule="auto"/>
      </w:pPr>
      <w:r>
        <w:separator/>
      </w:r>
    </w:p>
  </w:endnote>
  <w:endnote w:type="continuationSeparator" w:id="0">
    <w:p w:rsidR="00FB4AB5" w:rsidRDefault="00FB4AB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AB5" w:rsidRDefault="00FB4AB5" w:rsidP="00106C83">
      <w:pPr>
        <w:spacing w:after="0" w:line="240" w:lineRule="auto"/>
      </w:pPr>
      <w:r>
        <w:separator/>
      </w:r>
    </w:p>
  </w:footnote>
  <w:footnote w:type="continuationSeparator" w:id="0">
    <w:p w:rsidR="00FB4AB5" w:rsidRDefault="00FB4AB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1"/>
  </w:num>
  <w:num w:numId="5">
    <w:abstractNumId w:val="9"/>
  </w:num>
  <w:num w:numId="6">
    <w:abstractNumId w:val="4"/>
  </w:num>
  <w:num w:numId="7">
    <w:abstractNumId w:val="1"/>
  </w:num>
  <w:num w:numId="8">
    <w:abstractNumId w:val="3"/>
  </w:num>
  <w:num w:numId="9">
    <w:abstractNumId w:val="0"/>
  </w:num>
  <w:num w:numId="10">
    <w:abstractNumId w:val="13"/>
  </w:num>
  <w:num w:numId="11">
    <w:abstractNumId w:val="8"/>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1446D"/>
    <w:rsid w:val="00293FD8"/>
    <w:rsid w:val="002A27A6"/>
    <w:rsid w:val="002A79C8"/>
    <w:rsid w:val="002D0DB8"/>
    <w:rsid w:val="002D452A"/>
    <w:rsid w:val="00336194"/>
    <w:rsid w:val="00360C05"/>
    <w:rsid w:val="0036549C"/>
    <w:rsid w:val="0038705A"/>
    <w:rsid w:val="004144E6"/>
    <w:rsid w:val="004156B2"/>
    <w:rsid w:val="00437734"/>
    <w:rsid w:val="004E14DC"/>
    <w:rsid w:val="004E656C"/>
    <w:rsid w:val="00535598"/>
    <w:rsid w:val="00547EE3"/>
    <w:rsid w:val="00551D8A"/>
    <w:rsid w:val="00581B36"/>
    <w:rsid w:val="00583E8E"/>
    <w:rsid w:val="00601EBD"/>
    <w:rsid w:val="006404A7"/>
    <w:rsid w:val="00682C5E"/>
    <w:rsid w:val="006B6429"/>
    <w:rsid w:val="007151F4"/>
    <w:rsid w:val="00743C01"/>
    <w:rsid w:val="00790C4A"/>
    <w:rsid w:val="007D10BE"/>
    <w:rsid w:val="007E5BD2"/>
    <w:rsid w:val="00862AA0"/>
    <w:rsid w:val="00872F18"/>
    <w:rsid w:val="00874EF7"/>
    <w:rsid w:val="00905DAC"/>
    <w:rsid w:val="00970A34"/>
    <w:rsid w:val="00976127"/>
    <w:rsid w:val="00976DD7"/>
    <w:rsid w:val="009C609C"/>
    <w:rsid w:val="00A27AFB"/>
    <w:rsid w:val="00A43875"/>
    <w:rsid w:val="00A63677"/>
    <w:rsid w:val="00A97BFF"/>
    <w:rsid w:val="00AA5DA8"/>
    <w:rsid w:val="00AE46B0"/>
    <w:rsid w:val="00B2185C"/>
    <w:rsid w:val="00B2503A"/>
    <w:rsid w:val="00B358DC"/>
    <w:rsid w:val="00B66A21"/>
    <w:rsid w:val="00C13753"/>
    <w:rsid w:val="00C1431F"/>
    <w:rsid w:val="00C15F93"/>
    <w:rsid w:val="00D42A15"/>
    <w:rsid w:val="00DD3939"/>
    <w:rsid w:val="00E35E0F"/>
    <w:rsid w:val="00E371D1"/>
    <w:rsid w:val="00E53738"/>
    <w:rsid w:val="00ED5F67"/>
    <w:rsid w:val="00ED6746"/>
    <w:rsid w:val="00EF08AE"/>
    <w:rsid w:val="00EF5790"/>
    <w:rsid w:val="00EF5F09"/>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29B23-F68F-4297-B549-78DAB40B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2</cp:revision>
  <cp:lastPrinted>2011-06-21T20:32:00Z</cp:lastPrinted>
  <dcterms:created xsi:type="dcterms:W3CDTF">2012-10-23T13:40:00Z</dcterms:created>
  <dcterms:modified xsi:type="dcterms:W3CDTF">2012-10-23T13:40:00Z</dcterms:modified>
</cp:coreProperties>
</file>