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3CDA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156240B"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0B1647B" w14:textId="77777777" w:rsidR="00551D8A" w:rsidRDefault="00551D8A" w:rsidP="00551D8A">
      <w:pPr>
        <w:spacing w:after="0"/>
        <w:rPr>
          <w:rFonts w:ascii="Arial" w:hAnsi="Arial" w:cs="Arial"/>
          <w:sz w:val="24"/>
          <w:szCs w:val="24"/>
        </w:rPr>
      </w:pPr>
    </w:p>
    <w:p w14:paraId="20689C26" w14:textId="77777777" w:rsidR="00551D8A" w:rsidRPr="001F1205" w:rsidRDefault="00551D8A" w:rsidP="00FF32BE">
      <w:pPr>
        <w:spacing w:after="0"/>
        <w:ind w:left="-720" w:right="-720"/>
        <w:rPr>
          <w:rFonts w:ascii="Arial" w:hAnsi="Arial" w:cs="Arial"/>
          <w:color w:val="0070C0"/>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240AA3" w:rsidRPr="001F1205">
        <w:rPr>
          <w:rFonts w:ascii="Arial" w:hAnsi="Arial" w:cs="Arial"/>
          <w:color w:val="0070C0"/>
          <w:sz w:val="24"/>
          <w:szCs w:val="24"/>
        </w:rPr>
        <w:t>Wisconsin D</w:t>
      </w:r>
      <w:r w:rsidR="00EF4899" w:rsidRPr="001F1205">
        <w:rPr>
          <w:rFonts w:ascii="Arial" w:hAnsi="Arial" w:cs="Arial"/>
          <w:color w:val="0070C0"/>
          <w:sz w:val="24"/>
          <w:szCs w:val="24"/>
        </w:rPr>
        <w:t>epartment of Transportation</w:t>
      </w:r>
    </w:p>
    <w:p w14:paraId="683B32FF" w14:textId="77777777" w:rsidR="00FF32BE" w:rsidRDefault="00FF32BE" w:rsidP="00FF32BE">
      <w:pPr>
        <w:spacing w:after="0"/>
        <w:rPr>
          <w:rFonts w:ascii="Arial" w:hAnsi="Arial" w:cs="Arial"/>
          <w:sz w:val="24"/>
          <w:szCs w:val="24"/>
        </w:rPr>
      </w:pPr>
    </w:p>
    <w:p w14:paraId="42204EA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C756933"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F51CD40"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3AEBF6" w14:textId="77777777" w:rsidTr="00743C01">
        <w:trPr>
          <w:trHeight w:val="1997"/>
        </w:trPr>
        <w:tc>
          <w:tcPr>
            <w:tcW w:w="5418" w:type="dxa"/>
            <w:gridSpan w:val="2"/>
          </w:tcPr>
          <w:p w14:paraId="303BF6A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07733061"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6913B16F" w14:textId="77777777" w:rsidR="00E35E0F" w:rsidRDefault="00E35E0F" w:rsidP="00551D8A">
            <w:pPr>
              <w:ind w:right="-720"/>
              <w:rPr>
                <w:rFonts w:ascii="Arial" w:hAnsi="Arial" w:cs="Arial"/>
                <w:i/>
                <w:sz w:val="20"/>
                <w:szCs w:val="20"/>
              </w:rPr>
            </w:pPr>
          </w:p>
          <w:p w14:paraId="338AD202" w14:textId="77777777" w:rsidR="00E35E0F" w:rsidRPr="00B33E72" w:rsidRDefault="00EF4899" w:rsidP="00F633F1">
            <w:pPr>
              <w:ind w:right="-720"/>
              <w:rPr>
                <w:rFonts w:ascii="Arial" w:hAnsi="Arial" w:cs="Arial"/>
                <w:color w:val="0070C0"/>
                <w:sz w:val="20"/>
                <w:szCs w:val="20"/>
              </w:rPr>
            </w:pPr>
            <w:r w:rsidRPr="00B33E72">
              <w:rPr>
                <w:rFonts w:ascii="Arial" w:hAnsi="Arial" w:cs="Arial"/>
                <w:color w:val="0070C0"/>
                <w:sz w:val="20"/>
                <w:szCs w:val="20"/>
              </w:rPr>
              <w:t>TPF-5</w:t>
            </w:r>
            <w:r w:rsidR="00B41C3E" w:rsidRPr="00B33E72">
              <w:rPr>
                <w:rFonts w:ascii="Arial" w:hAnsi="Arial" w:cs="Arial"/>
                <w:color w:val="0070C0"/>
                <w:sz w:val="20"/>
                <w:szCs w:val="20"/>
              </w:rPr>
              <w:t xml:space="preserve"> </w:t>
            </w:r>
            <w:r w:rsidRPr="00B33E72">
              <w:rPr>
                <w:rFonts w:ascii="Arial" w:hAnsi="Arial" w:cs="Arial"/>
                <w:color w:val="0070C0"/>
                <w:sz w:val="20"/>
                <w:szCs w:val="20"/>
              </w:rPr>
              <w:t>(156)</w:t>
            </w:r>
          </w:p>
        </w:tc>
        <w:tc>
          <w:tcPr>
            <w:tcW w:w="5490" w:type="dxa"/>
            <w:gridSpan w:val="2"/>
          </w:tcPr>
          <w:p w14:paraId="6FA752A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11B4FF4" w14:textId="48B78082" w:rsidR="00551D8A" w:rsidRPr="00116BD7" w:rsidRDefault="00551D8A" w:rsidP="00037FBC">
            <w:pPr>
              <w:ind w:right="-720"/>
              <w:rPr>
                <w:rFonts w:ascii="Arial" w:hAnsi="Arial" w:cs="Arial"/>
                <w:sz w:val="20"/>
                <w:szCs w:val="20"/>
              </w:rPr>
            </w:pPr>
            <w:r w:rsidRPr="00551D8A">
              <w:rPr>
                <w:rFonts w:ascii="Arial" w:hAnsi="Arial" w:cs="Arial"/>
                <w:sz w:val="36"/>
                <w:szCs w:val="36"/>
              </w:rPr>
              <w:t>□</w:t>
            </w:r>
            <w:r w:rsidR="00EE7A87" w:rsidRPr="00EE7A87">
              <w:rPr>
                <w:rFonts w:ascii="Arial" w:hAnsi="Arial" w:cs="Arial"/>
                <w:color w:val="4F81BD" w:themeColor="accent1"/>
                <w:sz w:val="36"/>
                <w:szCs w:val="36"/>
              </w:rPr>
              <w:t xml:space="preserve"> </w:t>
            </w:r>
            <w:r w:rsidRPr="00116BD7">
              <w:rPr>
                <w:rFonts w:ascii="Arial" w:hAnsi="Arial" w:cs="Arial"/>
                <w:sz w:val="20"/>
                <w:szCs w:val="20"/>
              </w:rPr>
              <w:t>Quarter 1 (January 1 – March 31)</w:t>
            </w:r>
          </w:p>
          <w:p w14:paraId="0FD6F16D" w14:textId="296652D3" w:rsidR="00551D8A" w:rsidRPr="00116BD7" w:rsidRDefault="00551D8A" w:rsidP="00037FBC">
            <w:pPr>
              <w:ind w:right="-720"/>
              <w:rPr>
                <w:rFonts w:ascii="Arial" w:hAnsi="Arial" w:cs="Arial"/>
                <w:b/>
                <w:sz w:val="20"/>
                <w:szCs w:val="20"/>
              </w:rPr>
            </w:pPr>
            <w:r w:rsidRPr="00551D8A">
              <w:rPr>
                <w:rFonts w:ascii="Arial" w:hAnsi="Arial" w:cs="Arial"/>
                <w:sz w:val="36"/>
                <w:szCs w:val="36"/>
              </w:rPr>
              <w:t>□</w:t>
            </w:r>
            <w:r w:rsidR="00116BD7" w:rsidRPr="00EE7A87">
              <w:rPr>
                <w:rFonts w:ascii="Arial" w:hAnsi="Arial" w:cs="Arial"/>
                <w:color w:val="4F81BD" w:themeColor="accent1"/>
                <w:sz w:val="36"/>
                <w:szCs w:val="36"/>
              </w:rPr>
              <w:t xml:space="preserve"> X</w:t>
            </w:r>
            <w:r w:rsidR="00116BD7">
              <w:rPr>
                <w:rFonts w:ascii="Arial" w:hAnsi="Arial" w:cs="Arial"/>
                <w:sz w:val="20"/>
                <w:szCs w:val="20"/>
              </w:rPr>
              <w:t xml:space="preserve"> </w:t>
            </w:r>
            <w:r w:rsidRPr="00116BD7">
              <w:rPr>
                <w:rFonts w:ascii="Arial" w:hAnsi="Arial" w:cs="Arial"/>
                <w:b/>
                <w:sz w:val="20"/>
                <w:szCs w:val="20"/>
              </w:rPr>
              <w:t>Quarter 2 (April 1 – June 30)</w:t>
            </w:r>
          </w:p>
          <w:p w14:paraId="43F89566"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3288553E"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sidRPr="00EE7A87">
              <w:rPr>
                <w:rFonts w:ascii="Arial" w:hAnsi="Arial" w:cs="Arial"/>
                <w:sz w:val="20"/>
                <w:szCs w:val="20"/>
              </w:rPr>
              <w:t>Quarter 4 (October 1</w:t>
            </w:r>
            <w:r w:rsidRPr="00EE7A87">
              <w:rPr>
                <w:rFonts w:ascii="Arial" w:hAnsi="Arial" w:cs="Arial"/>
                <w:sz w:val="20"/>
                <w:szCs w:val="20"/>
              </w:rPr>
              <w:t xml:space="preserve"> – December 31)</w:t>
            </w:r>
          </w:p>
        </w:tc>
      </w:tr>
      <w:tr w:rsidR="00743C01" w:rsidRPr="00B66A21" w14:paraId="7DD4A859" w14:textId="77777777" w:rsidTr="00874EF7">
        <w:tc>
          <w:tcPr>
            <w:tcW w:w="10908" w:type="dxa"/>
            <w:gridSpan w:val="4"/>
          </w:tcPr>
          <w:p w14:paraId="767B1E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C4632F5" w14:textId="77777777" w:rsidR="00034145" w:rsidRPr="00B33E72" w:rsidRDefault="00EF4899" w:rsidP="00551D8A">
            <w:pPr>
              <w:ind w:right="-720"/>
              <w:rPr>
                <w:rFonts w:ascii="Arial" w:hAnsi="Arial" w:cs="Arial"/>
                <w:color w:val="0070C0"/>
                <w:sz w:val="20"/>
                <w:szCs w:val="20"/>
              </w:rPr>
            </w:pPr>
            <w:r w:rsidRPr="00B33E72">
              <w:rPr>
                <w:rFonts w:ascii="Arial" w:hAnsi="Arial" w:cs="Arial"/>
                <w:color w:val="0070C0"/>
                <w:sz w:val="20"/>
                <w:szCs w:val="20"/>
              </w:rPr>
              <w:t xml:space="preserve">Mid-America Freight Coalition Pooled Fund – </w:t>
            </w:r>
            <w:r w:rsidR="008126B6" w:rsidRPr="00B33E72">
              <w:rPr>
                <w:rFonts w:ascii="Arial" w:hAnsi="Arial" w:cs="Arial"/>
                <w:color w:val="0070C0"/>
                <w:sz w:val="20"/>
                <w:szCs w:val="20"/>
              </w:rPr>
              <w:t>Regional Freight Study</w:t>
            </w:r>
          </w:p>
          <w:p w14:paraId="5C1DC9D4" w14:textId="77777777" w:rsidR="00743C01" w:rsidRPr="00B66A21" w:rsidRDefault="00743C01" w:rsidP="00551D8A">
            <w:pPr>
              <w:ind w:right="-720"/>
              <w:rPr>
                <w:rFonts w:ascii="Arial" w:hAnsi="Arial" w:cs="Arial"/>
                <w:sz w:val="20"/>
                <w:szCs w:val="20"/>
              </w:rPr>
            </w:pPr>
          </w:p>
        </w:tc>
      </w:tr>
      <w:tr w:rsidR="00743C01" w:rsidRPr="00B66A21" w14:paraId="6ECBA081" w14:textId="77777777" w:rsidTr="00C13753">
        <w:tc>
          <w:tcPr>
            <w:tcW w:w="4158" w:type="dxa"/>
          </w:tcPr>
          <w:p w14:paraId="624B5278" w14:textId="77777777" w:rsidR="00034145" w:rsidRDefault="00535598" w:rsidP="00551D8A">
            <w:pPr>
              <w:ind w:right="-720"/>
              <w:rPr>
                <w:rFonts w:ascii="Arial" w:hAnsi="Arial" w:cs="Arial"/>
                <w:b/>
                <w:sz w:val="20"/>
                <w:szCs w:val="20"/>
              </w:rPr>
            </w:pPr>
            <w:r>
              <w:rPr>
                <w:rFonts w:ascii="Arial" w:hAnsi="Arial" w:cs="Arial"/>
                <w:b/>
                <w:sz w:val="20"/>
                <w:szCs w:val="20"/>
              </w:rPr>
              <w:t>Name of Project Manager(s):</w:t>
            </w:r>
          </w:p>
          <w:p w14:paraId="7EA7B469" w14:textId="77777777" w:rsidR="00743C01" w:rsidRPr="00B33E72" w:rsidRDefault="00EF4899" w:rsidP="00B41C3E">
            <w:pPr>
              <w:rPr>
                <w:rFonts w:ascii="Arial" w:hAnsi="Arial" w:cs="Arial"/>
                <w:color w:val="0070C0"/>
                <w:sz w:val="20"/>
                <w:szCs w:val="20"/>
              </w:rPr>
            </w:pPr>
            <w:r w:rsidRPr="00B33E72">
              <w:rPr>
                <w:rFonts w:ascii="Arial" w:hAnsi="Arial" w:cs="Arial"/>
                <w:color w:val="0070C0"/>
                <w:sz w:val="20"/>
                <w:szCs w:val="20"/>
              </w:rPr>
              <w:t>Teresa Adams</w:t>
            </w:r>
          </w:p>
        </w:tc>
        <w:tc>
          <w:tcPr>
            <w:tcW w:w="3330" w:type="dxa"/>
            <w:gridSpan w:val="2"/>
          </w:tcPr>
          <w:p w14:paraId="02C112CA" w14:textId="77777777" w:rsidR="008126B6" w:rsidRDefault="00535598" w:rsidP="00551D8A">
            <w:pPr>
              <w:ind w:right="-720"/>
              <w:rPr>
                <w:rFonts w:ascii="Arial" w:hAnsi="Arial" w:cs="Arial"/>
                <w:b/>
                <w:sz w:val="20"/>
                <w:szCs w:val="20"/>
              </w:rPr>
            </w:pPr>
            <w:r>
              <w:rPr>
                <w:rFonts w:ascii="Arial" w:hAnsi="Arial" w:cs="Arial"/>
                <w:b/>
                <w:sz w:val="20"/>
                <w:szCs w:val="20"/>
              </w:rPr>
              <w:t>Phone Number:</w:t>
            </w:r>
            <w:r w:rsidR="00EF4899">
              <w:rPr>
                <w:rFonts w:ascii="Arial" w:hAnsi="Arial" w:cs="Arial"/>
                <w:b/>
                <w:sz w:val="20"/>
                <w:szCs w:val="20"/>
              </w:rPr>
              <w:t xml:space="preserve"> </w:t>
            </w:r>
          </w:p>
          <w:p w14:paraId="43FA7F90" w14:textId="77777777" w:rsidR="00EF4899" w:rsidRPr="00B33E72" w:rsidRDefault="00EF4899" w:rsidP="00551D8A">
            <w:pPr>
              <w:ind w:right="-720"/>
              <w:rPr>
                <w:rFonts w:ascii="Arial" w:hAnsi="Arial" w:cs="Arial"/>
                <w:sz w:val="20"/>
                <w:szCs w:val="20"/>
              </w:rPr>
            </w:pPr>
            <w:r w:rsidRPr="00B33E72">
              <w:rPr>
                <w:rFonts w:ascii="Arial" w:hAnsi="Arial" w:cs="Arial"/>
                <w:color w:val="0070C0"/>
                <w:sz w:val="20"/>
                <w:szCs w:val="20"/>
              </w:rPr>
              <w:t>608 263-3175</w:t>
            </w:r>
          </w:p>
        </w:tc>
        <w:tc>
          <w:tcPr>
            <w:tcW w:w="3420" w:type="dxa"/>
          </w:tcPr>
          <w:p w14:paraId="7BFC8948"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22B9B6D" w14:textId="77777777" w:rsidR="00535598" w:rsidRPr="00B33E72" w:rsidRDefault="00EF4899" w:rsidP="00551D8A">
            <w:pPr>
              <w:ind w:right="-720"/>
              <w:rPr>
                <w:rFonts w:ascii="Arial" w:hAnsi="Arial" w:cs="Arial"/>
                <w:color w:val="0070C0"/>
                <w:sz w:val="20"/>
                <w:szCs w:val="20"/>
              </w:rPr>
            </w:pPr>
            <w:r w:rsidRPr="00B33E72">
              <w:rPr>
                <w:rFonts w:ascii="Arial" w:hAnsi="Arial" w:cs="Arial"/>
                <w:color w:val="0070C0"/>
                <w:sz w:val="20"/>
                <w:szCs w:val="20"/>
              </w:rPr>
              <w:t>adams@engr.wisc.edu</w:t>
            </w:r>
          </w:p>
          <w:p w14:paraId="7DF65945" w14:textId="77777777" w:rsidR="004156B2" w:rsidRPr="00B66A21" w:rsidRDefault="004156B2" w:rsidP="00551D8A">
            <w:pPr>
              <w:ind w:right="-720"/>
              <w:rPr>
                <w:rFonts w:ascii="Arial" w:hAnsi="Arial" w:cs="Arial"/>
                <w:sz w:val="20"/>
                <w:szCs w:val="20"/>
              </w:rPr>
            </w:pPr>
          </w:p>
        </w:tc>
      </w:tr>
      <w:tr w:rsidR="00535598" w:rsidRPr="00B66A21" w14:paraId="61F62E4C" w14:textId="77777777" w:rsidTr="00C13753">
        <w:tc>
          <w:tcPr>
            <w:tcW w:w="4158" w:type="dxa"/>
          </w:tcPr>
          <w:p w14:paraId="14D95932" w14:textId="77777777" w:rsidR="008126B6" w:rsidRDefault="00535598" w:rsidP="00EF4899">
            <w:pPr>
              <w:ind w:right="-720"/>
              <w:rPr>
                <w:rFonts w:ascii="Arial" w:hAnsi="Arial" w:cs="Arial"/>
                <w:b/>
                <w:sz w:val="20"/>
                <w:szCs w:val="20"/>
              </w:rPr>
            </w:pPr>
            <w:r w:rsidRPr="00C13753">
              <w:rPr>
                <w:rFonts w:ascii="Arial" w:hAnsi="Arial" w:cs="Arial"/>
                <w:b/>
                <w:sz w:val="20"/>
                <w:szCs w:val="20"/>
              </w:rPr>
              <w:t>Lead Agency Project ID:</w:t>
            </w:r>
            <w:r w:rsidR="00EF4899">
              <w:rPr>
                <w:rFonts w:ascii="Arial" w:hAnsi="Arial" w:cs="Arial"/>
                <w:b/>
                <w:sz w:val="20"/>
                <w:szCs w:val="20"/>
              </w:rPr>
              <w:t xml:space="preserve"> </w:t>
            </w:r>
          </w:p>
          <w:p w14:paraId="713F8F07" w14:textId="77777777" w:rsidR="00535598" w:rsidRPr="00B33E72" w:rsidRDefault="00EF4899" w:rsidP="00EF4899">
            <w:pPr>
              <w:ind w:right="-720"/>
              <w:rPr>
                <w:rFonts w:ascii="Arial" w:hAnsi="Arial" w:cs="Arial"/>
                <w:sz w:val="20"/>
                <w:szCs w:val="20"/>
              </w:rPr>
            </w:pPr>
            <w:r w:rsidRPr="00B33E72">
              <w:rPr>
                <w:rFonts w:ascii="Arial" w:hAnsi="Arial" w:cs="Arial"/>
                <w:color w:val="0070C0"/>
                <w:sz w:val="20"/>
                <w:szCs w:val="20"/>
              </w:rPr>
              <w:t>TPF-5</w:t>
            </w:r>
            <w:r w:rsidR="00A74108" w:rsidRPr="00B33E72">
              <w:rPr>
                <w:rFonts w:ascii="Arial" w:hAnsi="Arial" w:cs="Arial"/>
                <w:color w:val="0070C0"/>
                <w:sz w:val="20"/>
                <w:szCs w:val="20"/>
              </w:rPr>
              <w:t xml:space="preserve"> </w:t>
            </w:r>
            <w:r w:rsidRPr="00B33E72">
              <w:rPr>
                <w:rFonts w:ascii="Arial" w:hAnsi="Arial" w:cs="Arial"/>
                <w:color w:val="0070C0"/>
                <w:sz w:val="20"/>
                <w:szCs w:val="20"/>
              </w:rPr>
              <w:t>(156)</w:t>
            </w:r>
          </w:p>
        </w:tc>
        <w:tc>
          <w:tcPr>
            <w:tcW w:w="3330" w:type="dxa"/>
            <w:gridSpan w:val="2"/>
          </w:tcPr>
          <w:p w14:paraId="2E5F04C4" w14:textId="77777777" w:rsidR="00535598" w:rsidRDefault="00535598" w:rsidP="00EF4899">
            <w:pPr>
              <w:ind w:right="-720"/>
              <w:rPr>
                <w:rFonts w:ascii="Arial" w:hAnsi="Arial" w:cs="Arial"/>
                <w:b/>
                <w:sz w:val="20"/>
                <w:szCs w:val="20"/>
              </w:rPr>
            </w:pPr>
            <w:r w:rsidRPr="00C13753">
              <w:rPr>
                <w:rFonts w:ascii="Arial" w:hAnsi="Arial" w:cs="Arial"/>
                <w:b/>
                <w:sz w:val="20"/>
                <w:szCs w:val="20"/>
              </w:rPr>
              <w:t>Other Project ID (i.e., contract #):</w:t>
            </w:r>
          </w:p>
          <w:p w14:paraId="0E46AB8C" w14:textId="77777777" w:rsidR="00561C55" w:rsidRPr="00561C55" w:rsidRDefault="00561C55" w:rsidP="00EF4899">
            <w:pPr>
              <w:ind w:right="-720"/>
              <w:rPr>
                <w:rFonts w:ascii="Arial" w:hAnsi="Arial" w:cs="Arial"/>
                <w:sz w:val="20"/>
                <w:szCs w:val="20"/>
              </w:rPr>
            </w:pPr>
            <w:r w:rsidRPr="00561C55">
              <w:rPr>
                <w:rFonts w:ascii="Arial" w:hAnsi="Arial" w:cs="Arial"/>
                <w:color w:val="4F81BD" w:themeColor="accent1"/>
                <w:sz w:val="20"/>
                <w:szCs w:val="20"/>
              </w:rPr>
              <w:t>TRB 3479615</w:t>
            </w:r>
          </w:p>
        </w:tc>
        <w:tc>
          <w:tcPr>
            <w:tcW w:w="3420" w:type="dxa"/>
          </w:tcPr>
          <w:p w14:paraId="482FD341" w14:textId="77777777" w:rsidR="00535598" w:rsidRPr="00C13753" w:rsidRDefault="00535598" w:rsidP="00EF4899">
            <w:pPr>
              <w:ind w:right="-720"/>
              <w:rPr>
                <w:rFonts w:ascii="Arial" w:hAnsi="Arial" w:cs="Arial"/>
                <w:b/>
                <w:sz w:val="20"/>
                <w:szCs w:val="20"/>
              </w:rPr>
            </w:pPr>
            <w:r w:rsidRPr="00C13753">
              <w:rPr>
                <w:rFonts w:ascii="Arial" w:hAnsi="Arial" w:cs="Arial"/>
                <w:b/>
                <w:sz w:val="20"/>
                <w:szCs w:val="20"/>
              </w:rPr>
              <w:t>Project Start Date:</w:t>
            </w:r>
          </w:p>
          <w:p w14:paraId="6DC843B2" w14:textId="77777777" w:rsidR="00535598" w:rsidRPr="008126B6" w:rsidRDefault="008126B6" w:rsidP="00B41C3E">
            <w:pPr>
              <w:ind w:right="-720"/>
              <w:rPr>
                <w:rFonts w:ascii="Arial" w:hAnsi="Arial" w:cs="Arial"/>
                <w:color w:val="0070C0"/>
                <w:sz w:val="20"/>
                <w:szCs w:val="20"/>
              </w:rPr>
            </w:pPr>
            <w:r w:rsidRPr="008126B6">
              <w:rPr>
                <w:rFonts w:ascii="Arial" w:hAnsi="Arial" w:cs="Arial"/>
                <w:color w:val="0070C0"/>
                <w:sz w:val="20"/>
                <w:szCs w:val="20"/>
              </w:rPr>
              <w:t>7/1/2011</w:t>
            </w:r>
          </w:p>
          <w:p w14:paraId="36D9F0C3" w14:textId="77777777" w:rsidR="00535598" w:rsidRPr="00B66A21" w:rsidRDefault="00535598" w:rsidP="00EF4899">
            <w:pPr>
              <w:ind w:right="-720"/>
              <w:rPr>
                <w:rFonts w:ascii="Arial" w:hAnsi="Arial" w:cs="Arial"/>
                <w:sz w:val="20"/>
                <w:szCs w:val="20"/>
              </w:rPr>
            </w:pPr>
          </w:p>
        </w:tc>
      </w:tr>
      <w:tr w:rsidR="00535598" w:rsidRPr="00B66A21" w14:paraId="560F9CAB" w14:textId="77777777" w:rsidTr="00C13753">
        <w:tc>
          <w:tcPr>
            <w:tcW w:w="4158" w:type="dxa"/>
          </w:tcPr>
          <w:p w14:paraId="3C5B020F" w14:textId="77777777" w:rsidR="00EF4899" w:rsidRDefault="00535598" w:rsidP="00B41C3E">
            <w:pPr>
              <w:ind w:right="-720"/>
              <w:rPr>
                <w:rFonts w:ascii="Arial" w:hAnsi="Arial" w:cs="Arial"/>
                <w:b/>
                <w:sz w:val="20"/>
                <w:szCs w:val="20"/>
              </w:rPr>
            </w:pPr>
            <w:r w:rsidRPr="00C13753">
              <w:rPr>
                <w:rFonts w:ascii="Arial" w:hAnsi="Arial" w:cs="Arial"/>
                <w:b/>
                <w:sz w:val="20"/>
                <w:szCs w:val="20"/>
              </w:rPr>
              <w:t>Original Project End Date:</w:t>
            </w:r>
            <w:r w:rsidR="00EF4899">
              <w:rPr>
                <w:rFonts w:ascii="Arial" w:hAnsi="Arial" w:cs="Arial"/>
                <w:b/>
                <w:sz w:val="20"/>
                <w:szCs w:val="20"/>
              </w:rPr>
              <w:t xml:space="preserve"> </w:t>
            </w:r>
          </w:p>
          <w:p w14:paraId="0A6ADB3C" w14:textId="77777777" w:rsidR="00535598" w:rsidRPr="00B33E72" w:rsidRDefault="008126B6" w:rsidP="00B41C3E">
            <w:pPr>
              <w:ind w:right="-720"/>
              <w:rPr>
                <w:rFonts w:ascii="Arial" w:hAnsi="Arial" w:cs="Arial"/>
                <w:color w:val="0070C0"/>
                <w:sz w:val="20"/>
                <w:szCs w:val="20"/>
              </w:rPr>
            </w:pPr>
            <w:r w:rsidRPr="00B33E72">
              <w:rPr>
                <w:rFonts w:ascii="Arial" w:hAnsi="Arial" w:cs="Arial"/>
                <w:color w:val="0070C0"/>
                <w:sz w:val="20"/>
                <w:szCs w:val="20"/>
              </w:rPr>
              <w:t>6/30/2012</w:t>
            </w:r>
          </w:p>
        </w:tc>
        <w:tc>
          <w:tcPr>
            <w:tcW w:w="3330" w:type="dxa"/>
            <w:gridSpan w:val="2"/>
          </w:tcPr>
          <w:p w14:paraId="406941D9" w14:textId="77777777" w:rsidR="00EF4899" w:rsidRDefault="00535598" w:rsidP="00B41C3E">
            <w:pPr>
              <w:ind w:right="-720"/>
              <w:rPr>
                <w:rFonts w:ascii="Arial" w:hAnsi="Arial" w:cs="Arial"/>
                <w:b/>
                <w:sz w:val="20"/>
                <w:szCs w:val="20"/>
              </w:rPr>
            </w:pPr>
            <w:r w:rsidRPr="00C13753">
              <w:rPr>
                <w:rFonts w:ascii="Arial" w:hAnsi="Arial" w:cs="Arial"/>
                <w:b/>
                <w:sz w:val="20"/>
                <w:szCs w:val="20"/>
              </w:rPr>
              <w:t>Current Project End Date:</w:t>
            </w:r>
            <w:r w:rsidR="00EF4899">
              <w:rPr>
                <w:rFonts w:ascii="Arial" w:hAnsi="Arial" w:cs="Arial"/>
                <w:b/>
                <w:sz w:val="20"/>
                <w:szCs w:val="20"/>
              </w:rPr>
              <w:t xml:space="preserve"> </w:t>
            </w:r>
          </w:p>
          <w:p w14:paraId="210FEC63" w14:textId="77777777" w:rsidR="00535598" w:rsidRPr="00B33E72" w:rsidRDefault="00EE7A87" w:rsidP="00B41C3E">
            <w:pPr>
              <w:ind w:right="-720"/>
              <w:rPr>
                <w:rFonts w:ascii="Arial" w:hAnsi="Arial" w:cs="Arial"/>
                <w:color w:val="548DD4" w:themeColor="text2" w:themeTint="99"/>
                <w:sz w:val="20"/>
                <w:szCs w:val="20"/>
              </w:rPr>
            </w:pPr>
            <w:r>
              <w:rPr>
                <w:rFonts w:ascii="Arial" w:hAnsi="Arial" w:cs="Arial"/>
                <w:color w:val="548DD4" w:themeColor="text2" w:themeTint="99"/>
                <w:sz w:val="20"/>
                <w:szCs w:val="20"/>
              </w:rPr>
              <w:t>12/31/2012</w:t>
            </w:r>
          </w:p>
        </w:tc>
        <w:tc>
          <w:tcPr>
            <w:tcW w:w="3420" w:type="dxa"/>
          </w:tcPr>
          <w:p w14:paraId="7AEC6189" w14:textId="77777777" w:rsidR="00535598" w:rsidRPr="00C13753" w:rsidRDefault="00535598" w:rsidP="00B41C3E">
            <w:pPr>
              <w:ind w:right="-720"/>
              <w:rPr>
                <w:rFonts w:ascii="Arial" w:hAnsi="Arial" w:cs="Arial"/>
                <w:b/>
                <w:sz w:val="20"/>
                <w:szCs w:val="20"/>
              </w:rPr>
            </w:pPr>
            <w:r w:rsidRPr="00C13753">
              <w:rPr>
                <w:rFonts w:ascii="Arial" w:hAnsi="Arial" w:cs="Arial"/>
                <w:b/>
                <w:sz w:val="20"/>
                <w:szCs w:val="20"/>
              </w:rPr>
              <w:t>Number of Extensions:</w:t>
            </w:r>
          </w:p>
          <w:p w14:paraId="5966C139" w14:textId="77777777" w:rsidR="00535598" w:rsidRPr="00B33E72" w:rsidRDefault="00EE7A87" w:rsidP="00F633F1">
            <w:pPr>
              <w:ind w:right="-720"/>
              <w:rPr>
                <w:rFonts w:ascii="Arial" w:hAnsi="Arial" w:cs="Arial"/>
                <w:color w:val="0070C0"/>
                <w:sz w:val="20"/>
                <w:szCs w:val="20"/>
              </w:rPr>
            </w:pPr>
            <w:r>
              <w:rPr>
                <w:rFonts w:ascii="Arial" w:hAnsi="Arial" w:cs="Arial"/>
                <w:color w:val="0070C0"/>
                <w:sz w:val="20"/>
                <w:szCs w:val="20"/>
              </w:rPr>
              <w:t>1</w:t>
            </w:r>
            <w:r w:rsidR="00F633F1" w:rsidRPr="00B33E72">
              <w:rPr>
                <w:rFonts w:ascii="Arial" w:hAnsi="Arial" w:cs="Arial"/>
                <w:sz w:val="20"/>
                <w:szCs w:val="20"/>
              </w:rPr>
              <w:t xml:space="preserve"> </w:t>
            </w:r>
          </w:p>
        </w:tc>
      </w:tr>
    </w:tbl>
    <w:p w14:paraId="2FFA3AB7" w14:textId="77777777" w:rsidR="00551D8A" w:rsidRPr="00B66A21" w:rsidRDefault="00551D8A" w:rsidP="00551D8A">
      <w:pPr>
        <w:spacing w:after="0"/>
        <w:ind w:left="-720" w:right="-720"/>
        <w:rPr>
          <w:rFonts w:ascii="Arial" w:hAnsi="Arial" w:cs="Arial"/>
          <w:sz w:val="20"/>
          <w:szCs w:val="20"/>
        </w:rPr>
      </w:pPr>
    </w:p>
    <w:p w14:paraId="2DAB5C3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1FD8CBD" w14:textId="77777777" w:rsidR="00743C01" w:rsidRPr="00B66A21" w:rsidRDefault="00EF4899" w:rsidP="00551D8A">
      <w:pPr>
        <w:spacing w:after="0"/>
        <w:ind w:left="-720" w:right="-720"/>
        <w:rPr>
          <w:rFonts w:ascii="Arial" w:hAnsi="Arial" w:cs="Arial"/>
          <w:sz w:val="20"/>
          <w:szCs w:val="20"/>
        </w:rPr>
      </w:pPr>
      <w:r w:rsidRPr="00B33E72">
        <w:rPr>
          <w:rFonts w:ascii="Arial" w:hAnsi="Arial" w:cs="Arial"/>
          <w:color w:val="0070C0"/>
          <w:sz w:val="36"/>
          <w:szCs w:val="36"/>
        </w:rPr>
        <w:t>X</w:t>
      </w:r>
      <w:r w:rsidR="00743C01" w:rsidRPr="00B33E72">
        <w:rPr>
          <w:rFonts w:ascii="Arial" w:hAnsi="Arial" w:cs="Arial"/>
          <w:color w:val="0070C0"/>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170CF193" w14:textId="77777777" w:rsidR="00743C01" w:rsidRPr="00B66A21" w:rsidRDefault="00743C01" w:rsidP="00551D8A">
      <w:pPr>
        <w:spacing w:after="0"/>
        <w:ind w:left="-720" w:right="-720"/>
        <w:rPr>
          <w:rFonts w:ascii="Arial" w:hAnsi="Arial" w:cs="Arial"/>
          <w:sz w:val="20"/>
          <w:szCs w:val="20"/>
        </w:rPr>
      </w:pPr>
    </w:p>
    <w:p w14:paraId="669C4FBE"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EB32D7B" w14:textId="77777777" w:rsidTr="00B66A21">
        <w:tc>
          <w:tcPr>
            <w:tcW w:w="4158" w:type="dxa"/>
            <w:shd w:val="pct15" w:color="auto" w:fill="auto"/>
          </w:tcPr>
          <w:p w14:paraId="15AC26D5"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85A880F"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422504A"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36EDA2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4462E2B" w14:textId="77777777" w:rsidTr="00B66A21">
        <w:tc>
          <w:tcPr>
            <w:tcW w:w="4158" w:type="dxa"/>
          </w:tcPr>
          <w:p w14:paraId="4AE4AD70" w14:textId="77777777" w:rsidR="00A85EAE" w:rsidRDefault="00A85EAE" w:rsidP="00A85EAE">
            <w:pPr>
              <w:ind w:right="-720"/>
              <w:jc w:val="center"/>
              <w:rPr>
                <w:rFonts w:ascii="Arial" w:hAnsi="Arial" w:cs="Arial"/>
                <w:sz w:val="20"/>
                <w:szCs w:val="20"/>
              </w:rPr>
            </w:pPr>
          </w:p>
          <w:p w14:paraId="41DE6ECA" w14:textId="77777777" w:rsidR="00874EF7" w:rsidRPr="00B41C3E" w:rsidRDefault="00BF7AD4"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w:t>
            </w:r>
            <w:r w:rsidR="00EE7A87">
              <w:rPr>
                <w:rFonts w:ascii="Arial" w:hAnsi="Arial" w:cs="Arial"/>
                <w:color w:val="548DD4" w:themeColor="text2" w:themeTint="99"/>
                <w:sz w:val="20"/>
                <w:szCs w:val="20"/>
              </w:rPr>
              <w:t>220</w:t>
            </w:r>
            <w:r w:rsidR="0071348F" w:rsidRPr="00B41C3E">
              <w:rPr>
                <w:rFonts w:ascii="Arial" w:hAnsi="Arial" w:cs="Arial"/>
                <w:color w:val="548DD4" w:themeColor="text2" w:themeTint="99"/>
                <w:sz w:val="20"/>
                <w:szCs w:val="20"/>
              </w:rPr>
              <w:t>,000.00</w:t>
            </w:r>
          </w:p>
          <w:p w14:paraId="0D4D11B4" w14:textId="77777777" w:rsidR="0071348F" w:rsidRPr="00B66A21" w:rsidRDefault="0071348F" w:rsidP="00A85EAE">
            <w:pPr>
              <w:ind w:right="-720"/>
              <w:jc w:val="center"/>
              <w:rPr>
                <w:rFonts w:ascii="Arial" w:hAnsi="Arial" w:cs="Arial"/>
                <w:sz w:val="20"/>
                <w:szCs w:val="20"/>
              </w:rPr>
            </w:pPr>
          </w:p>
        </w:tc>
        <w:tc>
          <w:tcPr>
            <w:tcW w:w="3330" w:type="dxa"/>
          </w:tcPr>
          <w:p w14:paraId="60ACE375" w14:textId="77777777" w:rsidR="00A85EAE" w:rsidRDefault="00A85EAE" w:rsidP="00A85EAE">
            <w:pPr>
              <w:ind w:right="-720"/>
              <w:jc w:val="center"/>
              <w:rPr>
                <w:rFonts w:ascii="Arial" w:hAnsi="Arial" w:cs="Arial"/>
                <w:sz w:val="20"/>
                <w:szCs w:val="20"/>
              </w:rPr>
            </w:pPr>
          </w:p>
          <w:p w14:paraId="639EDAC4" w14:textId="4B17CE8D" w:rsidR="00874EF7" w:rsidRPr="00B41C3E" w:rsidRDefault="00A85EAE" w:rsidP="00116BD7">
            <w:pPr>
              <w:ind w:right="-720"/>
              <w:jc w:val="center"/>
              <w:rPr>
                <w:rFonts w:ascii="Arial" w:hAnsi="Arial" w:cs="Arial"/>
                <w:color w:val="548DD4" w:themeColor="text2" w:themeTint="99"/>
                <w:sz w:val="20"/>
                <w:szCs w:val="20"/>
              </w:rPr>
            </w:pPr>
            <w:r w:rsidRPr="00B41C3E">
              <w:rPr>
                <w:rFonts w:ascii="Arial" w:hAnsi="Arial" w:cs="Arial"/>
                <w:color w:val="548DD4" w:themeColor="text2" w:themeTint="99"/>
                <w:sz w:val="20"/>
                <w:szCs w:val="20"/>
              </w:rPr>
              <w:t>$</w:t>
            </w:r>
            <w:r w:rsidR="00116BD7">
              <w:rPr>
                <w:rFonts w:ascii="Arial" w:hAnsi="Arial" w:cs="Arial"/>
                <w:color w:val="548DD4" w:themeColor="text2" w:themeTint="99"/>
                <w:sz w:val="20"/>
                <w:szCs w:val="20"/>
              </w:rPr>
              <w:t>98,350.82</w:t>
            </w:r>
          </w:p>
        </w:tc>
        <w:tc>
          <w:tcPr>
            <w:tcW w:w="3420" w:type="dxa"/>
          </w:tcPr>
          <w:p w14:paraId="603B742F" w14:textId="77777777" w:rsidR="00A85EAE" w:rsidRDefault="00A85EAE" w:rsidP="00A85EAE">
            <w:pPr>
              <w:ind w:right="-720"/>
              <w:jc w:val="center"/>
              <w:rPr>
                <w:rFonts w:ascii="Arial" w:hAnsi="Arial" w:cs="Arial"/>
                <w:sz w:val="20"/>
                <w:szCs w:val="20"/>
              </w:rPr>
            </w:pPr>
          </w:p>
          <w:p w14:paraId="63E506E3" w14:textId="5194170E" w:rsidR="00874EF7" w:rsidRPr="00B66A21" w:rsidRDefault="00116BD7" w:rsidP="00890739">
            <w:pPr>
              <w:ind w:right="-720"/>
              <w:jc w:val="center"/>
              <w:rPr>
                <w:rFonts w:ascii="Arial" w:hAnsi="Arial" w:cs="Arial"/>
                <w:sz w:val="20"/>
                <w:szCs w:val="20"/>
              </w:rPr>
            </w:pPr>
            <w:r>
              <w:rPr>
                <w:rFonts w:ascii="Arial" w:hAnsi="Arial" w:cs="Arial"/>
                <w:color w:val="548DD4" w:themeColor="text2" w:themeTint="99"/>
                <w:sz w:val="20"/>
                <w:szCs w:val="20"/>
              </w:rPr>
              <w:t>45</w:t>
            </w:r>
            <w:r w:rsidR="00890739">
              <w:rPr>
                <w:rFonts w:ascii="Arial" w:hAnsi="Arial" w:cs="Arial"/>
                <w:color w:val="548DD4" w:themeColor="text2" w:themeTint="99"/>
                <w:sz w:val="20"/>
                <w:szCs w:val="20"/>
              </w:rPr>
              <w:t>%</w:t>
            </w:r>
          </w:p>
        </w:tc>
      </w:tr>
    </w:tbl>
    <w:p w14:paraId="7366238D" w14:textId="77777777" w:rsidR="00743C01" w:rsidRDefault="00743C01" w:rsidP="00551D8A">
      <w:pPr>
        <w:spacing w:after="0"/>
        <w:ind w:left="-720" w:right="-720"/>
        <w:rPr>
          <w:rFonts w:ascii="Arial" w:hAnsi="Arial" w:cs="Arial"/>
          <w:sz w:val="20"/>
          <w:szCs w:val="20"/>
        </w:rPr>
      </w:pPr>
    </w:p>
    <w:p w14:paraId="306EC2B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6A46DCE" w14:textId="77777777" w:rsidTr="00B66A21">
        <w:tc>
          <w:tcPr>
            <w:tcW w:w="4158" w:type="dxa"/>
            <w:shd w:val="pct15" w:color="auto" w:fill="auto"/>
          </w:tcPr>
          <w:p w14:paraId="243004DA"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136DF08"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1172CD2"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411F31E1"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64C96A6A"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E04510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8D61446" w14:textId="77777777" w:rsidTr="00B66A21">
        <w:tc>
          <w:tcPr>
            <w:tcW w:w="4158" w:type="dxa"/>
          </w:tcPr>
          <w:p w14:paraId="0D153488" w14:textId="77777777" w:rsidR="00A85EAE" w:rsidRDefault="00A85EAE" w:rsidP="00A85EAE">
            <w:pPr>
              <w:ind w:right="-720"/>
              <w:jc w:val="center"/>
              <w:rPr>
                <w:rFonts w:ascii="Arial" w:hAnsi="Arial" w:cs="Arial"/>
                <w:sz w:val="20"/>
                <w:szCs w:val="20"/>
              </w:rPr>
            </w:pPr>
          </w:p>
          <w:p w14:paraId="018CFDD5" w14:textId="57C37925" w:rsidR="00A85EAE" w:rsidRPr="00B66A21" w:rsidRDefault="00A85EAE" w:rsidP="00EE7A87">
            <w:pPr>
              <w:ind w:right="-720"/>
              <w:jc w:val="center"/>
              <w:rPr>
                <w:rFonts w:ascii="Arial" w:hAnsi="Arial" w:cs="Arial"/>
                <w:sz w:val="20"/>
                <w:szCs w:val="20"/>
              </w:rPr>
            </w:pPr>
            <w:r w:rsidRPr="00B41C3E">
              <w:rPr>
                <w:rFonts w:ascii="Arial" w:hAnsi="Arial" w:cs="Arial"/>
                <w:color w:val="548DD4" w:themeColor="text2" w:themeTint="99"/>
                <w:sz w:val="20"/>
                <w:szCs w:val="20"/>
              </w:rPr>
              <w:t>$</w:t>
            </w:r>
            <w:r w:rsidR="00116BD7">
              <w:rPr>
                <w:rFonts w:ascii="Arial" w:hAnsi="Arial" w:cs="Arial"/>
                <w:color w:val="548DD4" w:themeColor="text2" w:themeTint="99"/>
                <w:sz w:val="20"/>
                <w:szCs w:val="20"/>
              </w:rPr>
              <w:t>45,811.99</w:t>
            </w:r>
            <w:r w:rsidR="00A12782">
              <w:rPr>
                <w:rFonts w:ascii="Arial" w:hAnsi="Arial" w:cs="Arial"/>
                <w:color w:val="548DD4" w:themeColor="text2" w:themeTint="99"/>
                <w:sz w:val="20"/>
                <w:szCs w:val="20"/>
              </w:rPr>
              <w:t xml:space="preserve">    </w:t>
            </w:r>
            <w:r w:rsidR="00116BD7">
              <w:rPr>
                <w:rFonts w:ascii="Arial" w:hAnsi="Arial" w:cs="Arial"/>
                <w:color w:val="548DD4" w:themeColor="text2" w:themeTint="99"/>
                <w:sz w:val="20"/>
                <w:szCs w:val="20"/>
              </w:rPr>
              <w:t>21</w:t>
            </w:r>
            <w:r w:rsidR="00A12782">
              <w:rPr>
                <w:rFonts w:ascii="Arial" w:hAnsi="Arial" w:cs="Arial"/>
                <w:color w:val="548DD4" w:themeColor="text2" w:themeTint="99"/>
                <w:sz w:val="20"/>
                <w:szCs w:val="20"/>
              </w:rPr>
              <w:t>%</w:t>
            </w:r>
          </w:p>
        </w:tc>
        <w:tc>
          <w:tcPr>
            <w:tcW w:w="3330" w:type="dxa"/>
          </w:tcPr>
          <w:p w14:paraId="18F27F3E" w14:textId="77777777" w:rsidR="00B66A21" w:rsidRPr="00B41C3E" w:rsidRDefault="00B66A21" w:rsidP="00A85EAE">
            <w:pPr>
              <w:ind w:right="-720"/>
              <w:jc w:val="center"/>
              <w:rPr>
                <w:rFonts w:ascii="Arial" w:hAnsi="Arial" w:cs="Arial"/>
                <w:color w:val="548DD4" w:themeColor="text2" w:themeTint="99"/>
                <w:sz w:val="20"/>
                <w:szCs w:val="20"/>
              </w:rPr>
            </w:pPr>
          </w:p>
          <w:p w14:paraId="2A081D1B" w14:textId="65F7EB1A" w:rsidR="00A85EAE" w:rsidRPr="00B41C3E" w:rsidRDefault="00C76F46" w:rsidP="00116BD7">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w:t>
            </w:r>
            <w:r w:rsidR="00116BD7">
              <w:rPr>
                <w:rFonts w:ascii="Arial" w:hAnsi="Arial" w:cs="Arial"/>
                <w:color w:val="548DD4" w:themeColor="text2" w:themeTint="99"/>
                <w:sz w:val="20"/>
                <w:szCs w:val="20"/>
              </w:rPr>
              <w:t>45,811.99</w:t>
            </w:r>
          </w:p>
        </w:tc>
        <w:tc>
          <w:tcPr>
            <w:tcW w:w="3420" w:type="dxa"/>
          </w:tcPr>
          <w:p w14:paraId="145160E7" w14:textId="77777777" w:rsidR="00B66A21" w:rsidRPr="00B41C3E" w:rsidRDefault="00B66A21" w:rsidP="00A85EAE">
            <w:pPr>
              <w:ind w:right="-720"/>
              <w:jc w:val="center"/>
              <w:rPr>
                <w:rFonts w:ascii="Arial" w:hAnsi="Arial" w:cs="Arial"/>
                <w:color w:val="548DD4" w:themeColor="text2" w:themeTint="99"/>
                <w:sz w:val="20"/>
                <w:szCs w:val="20"/>
              </w:rPr>
            </w:pPr>
          </w:p>
          <w:p w14:paraId="10FF2FB6" w14:textId="3287E480" w:rsidR="00B66A21" w:rsidRPr="00B41C3E" w:rsidRDefault="00116BD7"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50</w:t>
            </w:r>
            <w:r w:rsidR="005740C2">
              <w:rPr>
                <w:rFonts w:ascii="Arial" w:hAnsi="Arial" w:cs="Arial"/>
                <w:color w:val="548DD4" w:themeColor="text2" w:themeTint="99"/>
                <w:sz w:val="20"/>
                <w:szCs w:val="20"/>
              </w:rPr>
              <w:t>%</w:t>
            </w:r>
          </w:p>
        </w:tc>
      </w:tr>
    </w:tbl>
    <w:p w14:paraId="37D497A3" w14:textId="77777777" w:rsidR="00037FBC" w:rsidRDefault="00037FBC" w:rsidP="00551D8A">
      <w:pPr>
        <w:spacing w:after="0"/>
        <w:ind w:left="-720" w:right="-720"/>
        <w:rPr>
          <w:rFonts w:ascii="Arial" w:hAnsi="Arial" w:cs="Arial"/>
          <w:sz w:val="20"/>
          <w:szCs w:val="20"/>
        </w:rPr>
      </w:pPr>
    </w:p>
    <w:p w14:paraId="71CA0E02"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16205BAB" w14:textId="77777777" w:rsidTr="00601EBD">
        <w:tc>
          <w:tcPr>
            <w:tcW w:w="10908" w:type="dxa"/>
          </w:tcPr>
          <w:p w14:paraId="6F885750" w14:textId="77777777" w:rsidR="00E35E0F" w:rsidRDefault="00E35E0F" w:rsidP="00551D8A">
            <w:pPr>
              <w:ind w:right="-720"/>
              <w:rPr>
                <w:rFonts w:ascii="Arial" w:hAnsi="Arial" w:cs="Arial"/>
                <w:b/>
                <w:sz w:val="20"/>
                <w:szCs w:val="20"/>
              </w:rPr>
            </w:pPr>
          </w:p>
          <w:p w14:paraId="5C8A8A2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9E3D2C3" w14:textId="77777777" w:rsidR="00B33E72" w:rsidRDefault="00B33E72" w:rsidP="00B33E72">
            <w:pPr>
              <w:rPr>
                <w:rFonts w:ascii="Arial" w:eastAsia="Calibri" w:hAnsi="Arial" w:cs="Arial"/>
                <w:color w:val="0070C0"/>
                <w:sz w:val="20"/>
                <w:szCs w:val="20"/>
              </w:rPr>
            </w:pPr>
          </w:p>
          <w:p w14:paraId="44196AB1" w14:textId="77777777" w:rsidR="00B33E72" w:rsidRPr="00B33E72" w:rsidRDefault="00B33E72" w:rsidP="00B33E72">
            <w:pPr>
              <w:rPr>
                <w:rFonts w:ascii="Arial" w:eastAsia="Calibri" w:hAnsi="Arial" w:cs="Arial"/>
                <w:color w:val="0070C0"/>
                <w:sz w:val="20"/>
                <w:szCs w:val="20"/>
              </w:rPr>
            </w:pPr>
            <w:r w:rsidRPr="00B33E72">
              <w:rPr>
                <w:rFonts w:ascii="Arial" w:eastAsia="Calibri" w:hAnsi="Arial" w:cs="Arial"/>
                <w:color w:val="0070C0"/>
                <w:sz w:val="20"/>
                <w:szCs w:val="20"/>
              </w:rPr>
              <w:t xml:space="preserve">The ten states of the Mid-America Freight Coalition are undertaking a study of the movement of freight through and within the region. The primary goal of this study is to maximize the benefit that transportation can contribute to regional economic health. The economy of the region is heavily reliant on manufacturing and agriculture, both of which generate significant amounts of freight, both for the inputs and for the products of economic activities. Both of these major economic engines also face major competition from foreign producers. Success in that competition depends in part on producing quality products at competitive prices, but it also depends on the ability to deliver those products to national and international markets at competitive prices. In delivered, or landed, price, transportation can be a significant factor. Any measures that can be taken to make the movement of freight within the region more efficient will benefit regional producers and the general economy of the region. </w:t>
            </w:r>
          </w:p>
          <w:p w14:paraId="1E1ED8B4" w14:textId="77777777" w:rsidR="00B33E72" w:rsidRPr="00B33E72" w:rsidRDefault="00B33E72" w:rsidP="00B33E72">
            <w:pPr>
              <w:rPr>
                <w:rFonts w:ascii="Arial" w:eastAsia="Calibri" w:hAnsi="Arial" w:cs="Arial"/>
                <w:color w:val="0070C0"/>
                <w:sz w:val="20"/>
                <w:szCs w:val="20"/>
              </w:rPr>
            </w:pPr>
          </w:p>
          <w:p w14:paraId="206C210C" w14:textId="77777777" w:rsidR="00B33E72" w:rsidRPr="00B33E72" w:rsidRDefault="00B33E72" w:rsidP="00B33E72">
            <w:pPr>
              <w:rPr>
                <w:rFonts w:ascii="Arial" w:eastAsia="Calibri" w:hAnsi="Arial" w:cs="Arial"/>
                <w:color w:val="0070C0"/>
                <w:sz w:val="20"/>
                <w:szCs w:val="20"/>
              </w:rPr>
            </w:pPr>
            <w:r w:rsidRPr="00B33E72">
              <w:rPr>
                <w:rFonts w:ascii="Arial" w:eastAsia="Calibri" w:hAnsi="Arial" w:cs="Arial"/>
                <w:color w:val="0070C0"/>
                <w:sz w:val="20"/>
                <w:szCs w:val="20"/>
              </w:rPr>
              <w:t xml:space="preserve">Objectives </w:t>
            </w:r>
          </w:p>
          <w:p w14:paraId="6F3C90EA" w14:textId="77777777" w:rsidR="00B33E72" w:rsidRPr="00B33E72" w:rsidRDefault="00B33E72" w:rsidP="00B33E72">
            <w:pPr>
              <w:rPr>
                <w:rFonts w:ascii="Arial" w:eastAsia="Calibri" w:hAnsi="Arial" w:cs="Arial"/>
                <w:color w:val="0070C0"/>
                <w:sz w:val="20"/>
                <w:szCs w:val="20"/>
              </w:rPr>
            </w:pPr>
            <w:r w:rsidRPr="00B33E72">
              <w:rPr>
                <w:rFonts w:ascii="Arial" w:eastAsia="Calibri" w:hAnsi="Arial" w:cs="Arial"/>
                <w:color w:val="0070C0"/>
                <w:sz w:val="20"/>
                <w:szCs w:val="20"/>
              </w:rPr>
              <w:t xml:space="preserve">The states have defined the following objectives for this study: </w:t>
            </w:r>
          </w:p>
          <w:p w14:paraId="01904CC2" w14:textId="77777777" w:rsidR="00B33E72" w:rsidRPr="00B33E72" w:rsidRDefault="00B33E72" w:rsidP="00B33E72">
            <w:pPr>
              <w:numPr>
                <w:ilvl w:val="0"/>
                <w:numId w:val="3"/>
              </w:numPr>
              <w:contextualSpacing/>
              <w:rPr>
                <w:rFonts w:ascii="Arial" w:eastAsia="Calibri" w:hAnsi="Arial" w:cs="Arial"/>
                <w:color w:val="0070C0"/>
                <w:sz w:val="20"/>
                <w:szCs w:val="20"/>
              </w:rPr>
            </w:pPr>
            <w:r w:rsidRPr="00B33E72">
              <w:rPr>
                <w:rFonts w:ascii="Arial" w:eastAsia="Calibri" w:hAnsi="Arial" w:cs="Arial"/>
                <w:color w:val="0070C0"/>
                <w:sz w:val="20"/>
                <w:szCs w:val="20"/>
              </w:rPr>
              <w:t xml:space="preserve">The use of transportation and the movement of freight to support and encourage a regional approach to economic development. </w:t>
            </w:r>
          </w:p>
          <w:p w14:paraId="17DD69BF" w14:textId="77777777" w:rsidR="00B33E72" w:rsidRPr="00B33E72" w:rsidRDefault="00B33E72" w:rsidP="00B33E72">
            <w:pPr>
              <w:numPr>
                <w:ilvl w:val="0"/>
                <w:numId w:val="3"/>
              </w:numPr>
              <w:contextualSpacing/>
              <w:rPr>
                <w:rFonts w:ascii="Arial" w:eastAsia="Calibri" w:hAnsi="Arial" w:cs="Arial"/>
                <w:color w:val="0070C0"/>
                <w:sz w:val="20"/>
                <w:szCs w:val="20"/>
              </w:rPr>
            </w:pPr>
            <w:r w:rsidRPr="00B33E72">
              <w:rPr>
                <w:rFonts w:ascii="Arial" w:eastAsia="Calibri" w:hAnsi="Arial" w:cs="Arial"/>
                <w:color w:val="0070C0"/>
                <w:sz w:val="20"/>
                <w:szCs w:val="20"/>
              </w:rPr>
              <w:t xml:space="preserve">Identification of bottlenecks, particularly at intermodal connections, how they effect freight movements throughout the entire region, and how they might be alleviated. </w:t>
            </w:r>
          </w:p>
          <w:p w14:paraId="242E91DE" w14:textId="77777777" w:rsidR="00B33E72" w:rsidRPr="00B33E72" w:rsidRDefault="00B33E72" w:rsidP="00B33E72">
            <w:pPr>
              <w:numPr>
                <w:ilvl w:val="0"/>
                <w:numId w:val="3"/>
              </w:numPr>
              <w:contextualSpacing/>
              <w:rPr>
                <w:rFonts w:ascii="Arial" w:eastAsia="Calibri" w:hAnsi="Arial" w:cs="Arial"/>
                <w:color w:val="0070C0"/>
                <w:sz w:val="20"/>
                <w:szCs w:val="20"/>
              </w:rPr>
            </w:pPr>
            <w:r w:rsidRPr="00B33E72">
              <w:rPr>
                <w:rFonts w:ascii="Arial" w:eastAsia="Calibri" w:hAnsi="Arial" w:cs="Arial"/>
                <w:color w:val="0070C0"/>
                <w:sz w:val="20"/>
                <w:szCs w:val="20"/>
              </w:rPr>
              <w:t xml:space="preserve">Uniformity and consistency applied to freight movements across the regions, especially regarding permitting, truck sizes and weights, and oversize/overweight rules. </w:t>
            </w:r>
          </w:p>
          <w:p w14:paraId="299EA996" w14:textId="77777777" w:rsidR="00B33E72" w:rsidRPr="00B33E72" w:rsidRDefault="00B33E72" w:rsidP="00B33E72">
            <w:pPr>
              <w:numPr>
                <w:ilvl w:val="0"/>
                <w:numId w:val="3"/>
              </w:numPr>
              <w:contextualSpacing/>
              <w:rPr>
                <w:rFonts w:ascii="Arial" w:eastAsia="Calibri" w:hAnsi="Arial" w:cs="Arial"/>
                <w:color w:val="0070C0"/>
                <w:sz w:val="20"/>
                <w:szCs w:val="20"/>
              </w:rPr>
            </w:pPr>
            <w:r w:rsidRPr="00B33E72">
              <w:rPr>
                <w:rFonts w:ascii="Arial" w:eastAsia="Calibri" w:hAnsi="Arial" w:cs="Arial"/>
                <w:color w:val="0070C0"/>
                <w:sz w:val="20"/>
                <w:szCs w:val="20"/>
              </w:rPr>
              <w:t xml:space="preserve">Development of major routes and corridors as regional entities that account for multi-modal and intermodal aspects. </w:t>
            </w:r>
          </w:p>
          <w:p w14:paraId="46DC969A" w14:textId="77777777" w:rsidR="00B33E72" w:rsidRPr="00B33E72" w:rsidRDefault="00B33E72" w:rsidP="00B33E72">
            <w:pPr>
              <w:numPr>
                <w:ilvl w:val="0"/>
                <w:numId w:val="3"/>
              </w:numPr>
              <w:contextualSpacing/>
              <w:rPr>
                <w:rFonts w:ascii="Arial" w:eastAsia="Calibri" w:hAnsi="Arial" w:cs="Arial"/>
                <w:color w:val="0070C0"/>
                <w:sz w:val="20"/>
                <w:szCs w:val="20"/>
              </w:rPr>
            </w:pPr>
            <w:r w:rsidRPr="00B33E72">
              <w:rPr>
                <w:rFonts w:ascii="Arial" w:eastAsia="Calibri" w:hAnsi="Arial" w:cs="Arial"/>
                <w:color w:val="0070C0"/>
                <w:sz w:val="20"/>
                <w:szCs w:val="20"/>
              </w:rPr>
              <w:t>Identification of unused freight capacity in different areas and modes and how this and how this capacity might be better used.</w:t>
            </w:r>
          </w:p>
          <w:p w14:paraId="178A6F7F" w14:textId="77777777" w:rsidR="00B33E72" w:rsidRPr="00B33E72" w:rsidRDefault="00B33E72" w:rsidP="00B33E72">
            <w:pPr>
              <w:numPr>
                <w:ilvl w:val="0"/>
                <w:numId w:val="3"/>
              </w:numPr>
              <w:contextualSpacing/>
              <w:rPr>
                <w:rFonts w:ascii="Arial" w:eastAsia="Calibri" w:hAnsi="Arial" w:cs="Arial"/>
                <w:color w:val="0070C0"/>
                <w:sz w:val="20"/>
                <w:szCs w:val="20"/>
              </w:rPr>
            </w:pPr>
            <w:r w:rsidRPr="00B33E72">
              <w:rPr>
                <w:rFonts w:ascii="Arial" w:eastAsia="Calibri" w:hAnsi="Arial" w:cs="Arial"/>
                <w:color w:val="0070C0"/>
                <w:sz w:val="20"/>
                <w:szCs w:val="20"/>
              </w:rPr>
              <w:t xml:space="preserve">Support for disaster planning, scenario planning, and incident management when a major node, or corridor, is crippled by forces of man or nature. </w:t>
            </w:r>
          </w:p>
          <w:p w14:paraId="34E41954" w14:textId="77777777" w:rsidR="00B33E72" w:rsidRPr="00B33E72" w:rsidRDefault="00B33E72" w:rsidP="00B33E72">
            <w:pPr>
              <w:numPr>
                <w:ilvl w:val="0"/>
                <w:numId w:val="3"/>
              </w:numPr>
              <w:contextualSpacing/>
              <w:rPr>
                <w:rFonts w:ascii="Arial" w:eastAsia="Calibri" w:hAnsi="Arial" w:cs="Arial"/>
                <w:color w:val="0070C0"/>
                <w:sz w:val="20"/>
                <w:szCs w:val="20"/>
              </w:rPr>
            </w:pPr>
            <w:r w:rsidRPr="00B33E72">
              <w:rPr>
                <w:rFonts w:ascii="Arial" w:eastAsia="Calibri" w:hAnsi="Arial" w:cs="Arial"/>
                <w:color w:val="0070C0"/>
                <w:sz w:val="20"/>
                <w:szCs w:val="20"/>
              </w:rPr>
              <w:t>Environmental considerations such as air quality, fuel efficiency, land use, and mitigation of invasive species.</w:t>
            </w:r>
          </w:p>
          <w:p w14:paraId="2DAC7C37" w14:textId="77777777" w:rsidR="00B33E72" w:rsidRPr="00B33E72" w:rsidRDefault="00B33E72" w:rsidP="00B33E72">
            <w:pPr>
              <w:widowControl w:val="0"/>
              <w:autoSpaceDE w:val="0"/>
              <w:autoSpaceDN w:val="0"/>
              <w:adjustRightInd w:val="0"/>
              <w:rPr>
                <w:rFonts w:ascii="Arial" w:eastAsia="Calibri" w:hAnsi="Arial" w:cs="Arial"/>
                <w:color w:val="000000"/>
                <w:sz w:val="20"/>
                <w:szCs w:val="20"/>
              </w:rPr>
            </w:pPr>
          </w:p>
          <w:p w14:paraId="0C0E27FA" w14:textId="7B975795" w:rsidR="00601EBD" w:rsidRDefault="00B33E72" w:rsidP="00C52B40">
            <w:pPr>
              <w:rPr>
                <w:rFonts w:ascii="Arial" w:hAnsi="Arial" w:cs="Arial"/>
                <w:sz w:val="20"/>
                <w:szCs w:val="20"/>
              </w:rPr>
            </w:pPr>
            <w:r w:rsidRPr="00B33E72">
              <w:rPr>
                <w:rFonts w:ascii="Arial" w:eastAsia="Calibri" w:hAnsi="Arial" w:cs="Arial"/>
                <w:color w:val="0070C0"/>
                <w:sz w:val="20"/>
                <w:szCs w:val="20"/>
              </w:rPr>
              <w:t xml:space="preserve">Underlying all of these objectives is the general consensus that a regional freight study should provide the basis for fostering collaboration among the Coalition states, and well as for pursuing multi-state projects at the federal level. </w:t>
            </w:r>
          </w:p>
        </w:tc>
      </w:tr>
    </w:tbl>
    <w:p w14:paraId="72696B49" w14:textId="77777777" w:rsidR="00037FBC" w:rsidRDefault="00037FBC" w:rsidP="00551D8A">
      <w:pPr>
        <w:spacing w:after="0"/>
        <w:ind w:left="-720" w:right="-720"/>
        <w:rPr>
          <w:rFonts w:ascii="Arial" w:hAnsi="Arial" w:cs="Arial"/>
          <w:sz w:val="20"/>
          <w:szCs w:val="20"/>
        </w:rPr>
      </w:pPr>
    </w:p>
    <w:p w14:paraId="5145CA40"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3565AFD" w14:textId="77777777" w:rsidTr="00601EBD">
        <w:tc>
          <w:tcPr>
            <w:tcW w:w="10908" w:type="dxa"/>
          </w:tcPr>
          <w:p w14:paraId="7D6CE777" w14:textId="1382E6E6" w:rsidR="00E35E0F" w:rsidRDefault="00E35E0F" w:rsidP="00551D8A">
            <w:pPr>
              <w:ind w:right="-720"/>
              <w:rPr>
                <w:rFonts w:ascii="Arial" w:hAnsi="Arial" w:cs="Arial"/>
                <w:b/>
                <w:sz w:val="20"/>
                <w:szCs w:val="20"/>
              </w:rPr>
            </w:pPr>
          </w:p>
          <w:p w14:paraId="55F8C7DA"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4417C758" w14:textId="77777777" w:rsidR="00707201" w:rsidRDefault="00707201" w:rsidP="00707201">
            <w:pPr>
              <w:ind w:right="-720"/>
              <w:rPr>
                <w:rFonts w:ascii="Arial" w:hAnsi="Arial" w:cs="Arial"/>
                <w:color w:val="0070C0"/>
                <w:sz w:val="20"/>
                <w:szCs w:val="20"/>
              </w:rPr>
            </w:pPr>
          </w:p>
          <w:p w14:paraId="5B84DF99" w14:textId="2C311078" w:rsidR="00116BD7" w:rsidRPr="003172A4" w:rsidRDefault="00116BD7" w:rsidP="003172A4">
            <w:pPr>
              <w:pStyle w:val="ListParagraph"/>
              <w:numPr>
                <w:ilvl w:val="0"/>
                <w:numId w:val="4"/>
              </w:numPr>
              <w:ind w:right="-720"/>
              <w:rPr>
                <w:rFonts w:ascii="Arial" w:hAnsi="Arial" w:cs="Arial"/>
                <w:color w:val="0070C0"/>
                <w:sz w:val="20"/>
                <w:szCs w:val="20"/>
              </w:rPr>
            </w:pPr>
            <w:r>
              <w:rPr>
                <w:rFonts w:ascii="Arial" w:hAnsi="Arial" w:cs="Arial"/>
                <w:color w:val="0070C0"/>
                <w:sz w:val="20"/>
                <w:szCs w:val="20"/>
              </w:rPr>
              <w:t xml:space="preserve">Updates on the study were </w:t>
            </w:r>
            <w:r w:rsidR="00F923A3" w:rsidRPr="003172A4">
              <w:rPr>
                <w:rFonts w:ascii="Arial" w:hAnsi="Arial" w:cs="Arial"/>
                <w:color w:val="0070C0"/>
                <w:sz w:val="20"/>
                <w:szCs w:val="20"/>
              </w:rPr>
              <w:t>presented</w:t>
            </w:r>
            <w:r w:rsidR="003172A4">
              <w:rPr>
                <w:rFonts w:ascii="Arial" w:hAnsi="Arial" w:cs="Arial"/>
                <w:color w:val="0070C0"/>
                <w:sz w:val="20"/>
                <w:szCs w:val="20"/>
              </w:rPr>
              <w:t xml:space="preserve"> at the MAFC Annual Meeting held April 18-20, 2012.</w:t>
            </w:r>
          </w:p>
          <w:p w14:paraId="155939F6" w14:textId="77777777" w:rsidR="00116BD7" w:rsidRDefault="00116BD7" w:rsidP="00EE7A87">
            <w:pPr>
              <w:pStyle w:val="ListParagraph"/>
              <w:numPr>
                <w:ilvl w:val="0"/>
                <w:numId w:val="4"/>
              </w:numPr>
              <w:ind w:right="-720"/>
              <w:rPr>
                <w:rFonts w:ascii="Arial" w:hAnsi="Arial" w:cs="Arial"/>
                <w:color w:val="0070C0"/>
                <w:sz w:val="20"/>
                <w:szCs w:val="20"/>
              </w:rPr>
            </w:pPr>
            <w:r>
              <w:rPr>
                <w:rFonts w:ascii="Arial" w:hAnsi="Arial" w:cs="Arial"/>
                <w:color w:val="0070C0"/>
                <w:sz w:val="20"/>
                <w:szCs w:val="20"/>
              </w:rPr>
              <w:t xml:space="preserve">A sample methodology and classification criteria for </w:t>
            </w:r>
            <w:r w:rsidR="00EE7A87" w:rsidRPr="00C52B40">
              <w:rPr>
                <w:rFonts w:ascii="Arial" w:hAnsi="Arial" w:cs="Arial"/>
                <w:color w:val="0070C0"/>
                <w:sz w:val="20"/>
                <w:szCs w:val="20"/>
              </w:rPr>
              <w:t>determining significant freight</w:t>
            </w:r>
            <w:r>
              <w:rPr>
                <w:rFonts w:ascii="Arial" w:hAnsi="Arial" w:cs="Arial"/>
                <w:color w:val="0070C0"/>
                <w:sz w:val="20"/>
                <w:szCs w:val="20"/>
              </w:rPr>
              <w:t xml:space="preserve"> highway corridors was </w:t>
            </w:r>
          </w:p>
          <w:p w14:paraId="635E2049" w14:textId="77777777" w:rsidR="00116BD7" w:rsidRDefault="00116BD7" w:rsidP="00116BD7">
            <w:pPr>
              <w:pStyle w:val="ListParagraph"/>
              <w:ind w:right="-720"/>
              <w:rPr>
                <w:rFonts w:ascii="Arial" w:hAnsi="Arial" w:cs="Arial"/>
                <w:color w:val="0070C0"/>
                <w:sz w:val="20"/>
                <w:szCs w:val="20"/>
              </w:rPr>
            </w:pPr>
            <w:proofErr w:type="gramStart"/>
            <w:r>
              <w:rPr>
                <w:rFonts w:ascii="Arial" w:hAnsi="Arial" w:cs="Arial"/>
                <w:color w:val="0070C0"/>
                <w:sz w:val="20"/>
                <w:szCs w:val="20"/>
              </w:rPr>
              <w:t>shared</w:t>
            </w:r>
            <w:proofErr w:type="gramEnd"/>
            <w:r>
              <w:rPr>
                <w:rFonts w:ascii="Arial" w:hAnsi="Arial" w:cs="Arial"/>
                <w:color w:val="0070C0"/>
                <w:sz w:val="20"/>
                <w:szCs w:val="20"/>
              </w:rPr>
              <w:t xml:space="preserve"> with 2 state DOTs that </w:t>
            </w:r>
            <w:r w:rsidRPr="00116BD7">
              <w:rPr>
                <w:rFonts w:ascii="Arial" w:hAnsi="Arial" w:cs="Arial"/>
                <w:color w:val="0070C0"/>
                <w:sz w:val="20"/>
                <w:szCs w:val="20"/>
              </w:rPr>
              <w:t xml:space="preserve">are helping with this task. Further refinements needed when intermodal and </w:t>
            </w:r>
          </w:p>
          <w:p w14:paraId="74336DB9" w14:textId="590976D0" w:rsidR="00116BD7" w:rsidRPr="00116BD7" w:rsidRDefault="00116BD7" w:rsidP="00116BD7">
            <w:pPr>
              <w:pStyle w:val="ListParagraph"/>
              <w:ind w:right="-720"/>
              <w:rPr>
                <w:rFonts w:ascii="Arial" w:hAnsi="Arial" w:cs="Arial"/>
                <w:color w:val="0070C0"/>
                <w:sz w:val="20"/>
                <w:szCs w:val="20"/>
              </w:rPr>
            </w:pPr>
            <w:proofErr w:type="gramStart"/>
            <w:r w:rsidRPr="00116BD7">
              <w:rPr>
                <w:rFonts w:ascii="Arial" w:hAnsi="Arial" w:cs="Arial"/>
                <w:color w:val="0070C0"/>
                <w:sz w:val="20"/>
                <w:szCs w:val="20"/>
              </w:rPr>
              <w:t>waterways</w:t>
            </w:r>
            <w:proofErr w:type="gramEnd"/>
            <w:r w:rsidRPr="00116BD7">
              <w:rPr>
                <w:rFonts w:ascii="Arial" w:hAnsi="Arial" w:cs="Arial"/>
                <w:color w:val="0070C0"/>
                <w:sz w:val="20"/>
                <w:szCs w:val="20"/>
              </w:rPr>
              <w:t xml:space="preserve"> classifications are complete. </w:t>
            </w:r>
          </w:p>
          <w:p w14:paraId="191F3882" w14:textId="082E1D5B" w:rsidR="00F923A3" w:rsidRDefault="00F923A3" w:rsidP="00EE7A87">
            <w:pPr>
              <w:pStyle w:val="ListParagraph"/>
              <w:numPr>
                <w:ilvl w:val="0"/>
                <w:numId w:val="4"/>
              </w:numPr>
              <w:ind w:right="-720"/>
              <w:rPr>
                <w:rFonts w:ascii="Arial" w:hAnsi="Arial" w:cs="Arial"/>
                <w:color w:val="0070C0"/>
                <w:sz w:val="20"/>
                <w:szCs w:val="20"/>
              </w:rPr>
            </w:pPr>
            <w:r>
              <w:rPr>
                <w:rFonts w:ascii="Arial" w:hAnsi="Arial" w:cs="Arial"/>
                <w:color w:val="0070C0"/>
                <w:sz w:val="20"/>
                <w:szCs w:val="20"/>
              </w:rPr>
              <w:t xml:space="preserve">CFIRE staff worked on generating </w:t>
            </w:r>
            <w:r w:rsidR="003172A4">
              <w:rPr>
                <w:rFonts w:ascii="Arial" w:hAnsi="Arial" w:cs="Arial"/>
                <w:color w:val="0070C0"/>
                <w:sz w:val="20"/>
                <w:szCs w:val="20"/>
              </w:rPr>
              <w:t>a valuation on state DOT identified top three freight corridors.</w:t>
            </w:r>
          </w:p>
          <w:p w14:paraId="463826D9" w14:textId="7E68459B" w:rsidR="00136462" w:rsidRPr="00C52B40" w:rsidRDefault="00EE7A87" w:rsidP="00EE7A87">
            <w:pPr>
              <w:pStyle w:val="ListParagraph"/>
              <w:numPr>
                <w:ilvl w:val="0"/>
                <w:numId w:val="4"/>
              </w:numPr>
              <w:ind w:right="-720"/>
              <w:rPr>
                <w:rFonts w:ascii="Arial" w:hAnsi="Arial" w:cs="Arial"/>
                <w:color w:val="0070C0"/>
                <w:sz w:val="20"/>
                <w:szCs w:val="20"/>
              </w:rPr>
            </w:pPr>
            <w:r w:rsidRPr="00C52B40">
              <w:rPr>
                <w:rFonts w:ascii="Arial" w:hAnsi="Arial" w:cs="Arial"/>
                <w:color w:val="0070C0"/>
                <w:sz w:val="20"/>
                <w:szCs w:val="20"/>
              </w:rPr>
              <w:t xml:space="preserve">GIS Intern </w:t>
            </w:r>
            <w:r w:rsidR="00F923A3">
              <w:rPr>
                <w:rFonts w:ascii="Arial" w:hAnsi="Arial" w:cs="Arial"/>
                <w:color w:val="0070C0"/>
                <w:sz w:val="20"/>
                <w:szCs w:val="20"/>
              </w:rPr>
              <w:t>has determined suite of products to be used in final mapping.</w:t>
            </w:r>
          </w:p>
          <w:p w14:paraId="3EBB828D" w14:textId="095A0CDE" w:rsidR="00F923A3" w:rsidRPr="00FA29BB" w:rsidRDefault="00F923A3" w:rsidP="00FA29BB">
            <w:pPr>
              <w:pStyle w:val="ListParagraph"/>
              <w:numPr>
                <w:ilvl w:val="0"/>
                <w:numId w:val="4"/>
              </w:numPr>
              <w:ind w:right="-720"/>
              <w:rPr>
                <w:rFonts w:ascii="Arial" w:hAnsi="Arial" w:cs="Arial"/>
                <w:color w:val="0070C0"/>
                <w:sz w:val="20"/>
                <w:szCs w:val="20"/>
              </w:rPr>
            </w:pPr>
            <w:r>
              <w:rPr>
                <w:rFonts w:ascii="Arial" w:hAnsi="Arial" w:cs="Arial"/>
                <w:color w:val="0070C0"/>
                <w:sz w:val="20"/>
                <w:szCs w:val="20"/>
              </w:rPr>
              <w:t>Continue</w:t>
            </w:r>
            <w:r w:rsidR="00FA29BB">
              <w:rPr>
                <w:rFonts w:ascii="Arial" w:hAnsi="Arial" w:cs="Arial"/>
                <w:color w:val="0070C0"/>
                <w:sz w:val="20"/>
                <w:szCs w:val="20"/>
              </w:rPr>
              <w:t>d</w:t>
            </w:r>
            <w:r>
              <w:rPr>
                <w:rFonts w:ascii="Arial" w:hAnsi="Arial" w:cs="Arial"/>
                <w:color w:val="0070C0"/>
                <w:sz w:val="20"/>
                <w:szCs w:val="20"/>
              </w:rPr>
              <w:t xml:space="preserve"> r</w:t>
            </w:r>
            <w:r w:rsidR="00FA29BB">
              <w:rPr>
                <w:rFonts w:ascii="Arial" w:hAnsi="Arial" w:cs="Arial"/>
                <w:color w:val="0070C0"/>
                <w:sz w:val="20"/>
                <w:szCs w:val="20"/>
              </w:rPr>
              <w:t>esearch on dredging chokepoints and began</w:t>
            </w:r>
            <w:r w:rsidRPr="00FA29BB">
              <w:rPr>
                <w:rFonts w:ascii="Arial" w:hAnsi="Arial" w:cs="Arial"/>
                <w:color w:val="0070C0"/>
                <w:sz w:val="20"/>
                <w:szCs w:val="20"/>
              </w:rPr>
              <w:t xml:space="preserve"> waterways work and looking at data. </w:t>
            </w:r>
          </w:p>
          <w:p w14:paraId="12AFD760" w14:textId="602287E8" w:rsidR="00136462" w:rsidRDefault="00136462" w:rsidP="00C52B40">
            <w:pPr>
              <w:pStyle w:val="ListParagraph"/>
              <w:numPr>
                <w:ilvl w:val="0"/>
                <w:numId w:val="4"/>
              </w:numPr>
              <w:ind w:right="-720"/>
              <w:rPr>
                <w:rFonts w:ascii="Arial" w:hAnsi="Arial" w:cs="Arial"/>
                <w:color w:val="0070C0"/>
                <w:sz w:val="20"/>
                <w:szCs w:val="20"/>
              </w:rPr>
            </w:pPr>
            <w:r w:rsidRPr="00C52B40">
              <w:rPr>
                <w:rFonts w:ascii="Arial" w:hAnsi="Arial" w:cs="Arial"/>
                <w:color w:val="0070C0"/>
                <w:sz w:val="20"/>
                <w:szCs w:val="20"/>
              </w:rPr>
              <w:t>Continue work on environmental justice, v</w:t>
            </w:r>
            <w:r w:rsidR="00C52B40" w:rsidRPr="00C52B40">
              <w:rPr>
                <w:rFonts w:ascii="Arial" w:hAnsi="Arial" w:cs="Arial"/>
                <w:color w:val="0070C0"/>
                <w:sz w:val="20"/>
                <w:szCs w:val="20"/>
              </w:rPr>
              <w:t>aluation of corridor components and cost/benefit.</w:t>
            </w:r>
          </w:p>
          <w:p w14:paraId="70E6ABAA" w14:textId="78D7457A" w:rsidR="00FA29BB" w:rsidRPr="00C52B40" w:rsidRDefault="00FA29BB" w:rsidP="00C52B40">
            <w:pPr>
              <w:pStyle w:val="ListParagraph"/>
              <w:numPr>
                <w:ilvl w:val="0"/>
                <w:numId w:val="4"/>
              </w:numPr>
              <w:ind w:right="-720"/>
              <w:rPr>
                <w:rFonts w:ascii="Arial" w:hAnsi="Arial" w:cs="Arial"/>
                <w:color w:val="0070C0"/>
                <w:sz w:val="20"/>
                <w:szCs w:val="20"/>
              </w:rPr>
            </w:pPr>
            <w:r>
              <w:rPr>
                <w:rFonts w:ascii="Arial" w:hAnsi="Arial" w:cs="Arial"/>
                <w:color w:val="0070C0"/>
                <w:sz w:val="20"/>
                <w:szCs w:val="20"/>
              </w:rPr>
              <w:t xml:space="preserve">Visited </w:t>
            </w:r>
            <w:proofErr w:type="spellStart"/>
            <w:r>
              <w:rPr>
                <w:rFonts w:ascii="Arial" w:hAnsi="Arial" w:cs="Arial"/>
                <w:color w:val="0070C0"/>
                <w:sz w:val="20"/>
                <w:szCs w:val="20"/>
              </w:rPr>
              <w:t>frac</w:t>
            </w:r>
            <w:proofErr w:type="spellEnd"/>
            <w:r>
              <w:rPr>
                <w:rFonts w:ascii="Arial" w:hAnsi="Arial" w:cs="Arial"/>
                <w:color w:val="0070C0"/>
                <w:sz w:val="20"/>
                <w:szCs w:val="20"/>
              </w:rPr>
              <w:t xml:space="preserve"> sand mining companies and case study participant. Interviewed other stakeholders.</w:t>
            </w:r>
          </w:p>
          <w:p w14:paraId="146FE2A4" w14:textId="02AC92BA" w:rsidR="00601EBD" w:rsidRDefault="00601EBD" w:rsidP="00C52B40">
            <w:pPr>
              <w:ind w:right="-720"/>
              <w:rPr>
                <w:rFonts w:ascii="Arial" w:hAnsi="Arial" w:cs="Arial"/>
                <w:sz w:val="20"/>
                <w:szCs w:val="20"/>
              </w:rPr>
            </w:pPr>
          </w:p>
        </w:tc>
      </w:tr>
      <w:tr w:rsidR="00601EBD" w14:paraId="6B61EF07" w14:textId="77777777" w:rsidTr="00601EBD">
        <w:tc>
          <w:tcPr>
            <w:tcW w:w="10903" w:type="dxa"/>
          </w:tcPr>
          <w:p w14:paraId="42ED523C" w14:textId="34535C40" w:rsidR="00E35E0F" w:rsidRDefault="00E35E0F" w:rsidP="00551D8A">
            <w:pPr>
              <w:ind w:right="-720"/>
              <w:rPr>
                <w:rFonts w:ascii="Arial" w:hAnsi="Arial" w:cs="Arial"/>
                <w:b/>
                <w:sz w:val="20"/>
                <w:szCs w:val="20"/>
              </w:rPr>
            </w:pPr>
          </w:p>
          <w:p w14:paraId="73E972B5" w14:textId="56323A9A" w:rsidR="00115E01" w:rsidRDefault="00601EBD" w:rsidP="00551D8A">
            <w:pPr>
              <w:ind w:right="-720"/>
              <w:rPr>
                <w:rFonts w:ascii="Arial" w:hAnsi="Arial" w:cs="Arial"/>
                <w:color w:val="0070C0"/>
                <w:sz w:val="20"/>
                <w:szCs w:val="20"/>
              </w:rPr>
            </w:pPr>
            <w:r w:rsidRPr="00601EBD">
              <w:rPr>
                <w:rFonts w:ascii="Arial" w:hAnsi="Arial" w:cs="Arial"/>
                <w:b/>
                <w:sz w:val="20"/>
                <w:szCs w:val="20"/>
              </w:rPr>
              <w:t>Anticipated work next quarter</w:t>
            </w:r>
            <w:r>
              <w:rPr>
                <w:rFonts w:ascii="Arial" w:hAnsi="Arial" w:cs="Arial"/>
                <w:sz w:val="20"/>
                <w:szCs w:val="20"/>
              </w:rPr>
              <w:t>:</w:t>
            </w:r>
          </w:p>
          <w:p w14:paraId="5FFEF8D0" w14:textId="429C9BAA" w:rsidR="00F923A3" w:rsidRPr="00F923A3" w:rsidRDefault="00FA29BB" w:rsidP="00551D8A">
            <w:pPr>
              <w:ind w:right="-720"/>
              <w:rPr>
                <w:rFonts w:ascii="Arial" w:hAnsi="Arial" w:cs="Arial"/>
                <w:sz w:val="20"/>
                <w:szCs w:val="20"/>
              </w:rPr>
            </w:pPr>
            <w:r>
              <w:rPr>
                <w:rFonts w:ascii="Arial" w:hAnsi="Arial" w:cs="Arial"/>
                <w:color w:val="0070C0"/>
                <w:sz w:val="20"/>
                <w:szCs w:val="20"/>
              </w:rPr>
              <w:t xml:space="preserve">Attend </w:t>
            </w:r>
            <w:r w:rsidR="00B51641">
              <w:rPr>
                <w:rFonts w:ascii="Arial" w:hAnsi="Arial" w:cs="Arial"/>
                <w:color w:val="0070C0"/>
                <w:sz w:val="20"/>
                <w:szCs w:val="20"/>
              </w:rPr>
              <w:t>MAASTO</w:t>
            </w:r>
            <w:bookmarkStart w:id="0" w:name="_GoBack"/>
            <w:bookmarkEnd w:id="0"/>
            <w:r>
              <w:rPr>
                <w:rFonts w:ascii="Arial" w:hAnsi="Arial" w:cs="Arial"/>
                <w:color w:val="0070C0"/>
                <w:sz w:val="20"/>
                <w:szCs w:val="20"/>
              </w:rPr>
              <w:t xml:space="preserve"> meeting and p</w:t>
            </w:r>
            <w:r w:rsidR="00F923A3">
              <w:rPr>
                <w:rFonts w:ascii="Arial" w:hAnsi="Arial" w:cs="Arial"/>
                <w:color w:val="0070C0"/>
                <w:sz w:val="20"/>
                <w:szCs w:val="20"/>
              </w:rPr>
              <w:t>resent valuation of corridors</w:t>
            </w:r>
            <w:r>
              <w:rPr>
                <w:rFonts w:ascii="Arial" w:hAnsi="Arial" w:cs="Arial"/>
                <w:color w:val="0070C0"/>
                <w:sz w:val="20"/>
                <w:szCs w:val="20"/>
              </w:rPr>
              <w:t>.</w:t>
            </w:r>
          </w:p>
          <w:p w14:paraId="3E419E6D" w14:textId="77777777" w:rsidR="00C52B40" w:rsidRDefault="00115E01" w:rsidP="00115E01">
            <w:pPr>
              <w:ind w:right="-720"/>
              <w:rPr>
                <w:rFonts w:ascii="Arial" w:hAnsi="Arial" w:cs="Arial"/>
                <w:color w:val="0070C0"/>
                <w:sz w:val="20"/>
                <w:szCs w:val="20"/>
              </w:rPr>
            </w:pPr>
            <w:r>
              <w:rPr>
                <w:rFonts w:ascii="Arial" w:hAnsi="Arial" w:cs="Arial"/>
                <w:color w:val="0070C0"/>
                <w:sz w:val="20"/>
                <w:szCs w:val="20"/>
              </w:rPr>
              <w:t xml:space="preserve">With DOTs assistance continue work on regionally significant rail/highway corridors. </w:t>
            </w:r>
          </w:p>
          <w:p w14:paraId="536F34CE" w14:textId="002FEC1A" w:rsidR="00115E01" w:rsidRDefault="00115E01" w:rsidP="00551D8A">
            <w:pPr>
              <w:ind w:right="-720"/>
              <w:rPr>
                <w:rFonts w:ascii="Arial" w:hAnsi="Arial" w:cs="Arial"/>
                <w:color w:val="0070C0"/>
                <w:sz w:val="20"/>
                <w:szCs w:val="20"/>
              </w:rPr>
            </w:pPr>
            <w:r>
              <w:rPr>
                <w:rFonts w:ascii="Arial" w:hAnsi="Arial" w:cs="Arial"/>
                <w:color w:val="0070C0"/>
                <w:sz w:val="20"/>
                <w:szCs w:val="20"/>
              </w:rPr>
              <w:t>Determine thresholds for nodal network such as intermodal terminals and ports.</w:t>
            </w:r>
          </w:p>
          <w:p w14:paraId="1E14B074" w14:textId="77777777" w:rsidR="00B77417" w:rsidRDefault="00136462" w:rsidP="00551D8A">
            <w:pPr>
              <w:ind w:right="-720"/>
              <w:rPr>
                <w:rFonts w:ascii="Arial" w:hAnsi="Arial" w:cs="Arial"/>
                <w:color w:val="0070C0"/>
                <w:sz w:val="20"/>
                <w:szCs w:val="20"/>
              </w:rPr>
            </w:pPr>
            <w:r>
              <w:rPr>
                <w:rFonts w:ascii="Arial" w:hAnsi="Arial" w:cs="Arial"/>
                <w:color w:val="0070C0"/>
                <w:sz w:val="20"/>
                <w:szCs w:val="20"/>
              </w:rPr>
              <w:t>Outreach to industry to get feedback on the national and regional freight network task. Take findings back to DOTs.</w:t>
            </w:r>
          </w:p>
          <w:p w14:paraId="70D31619" w14:textId="6632FD95" w:rsidR="00136462" w:rsidRDefault="00136462" w:rsidP="00551D8A">
            <w:pPr>
              <w:ind w:right="-720"/>
              <w:rPr>
                <w:rFonts w:ascii="Arial" w:hAnsi="Arial" w:cs="Arial"/>
                <w:color w:val="0070C0"/>
                <w:sz w:val="20"/>
                <w:szCs w:val="20"/>
              </w:rPr>
            </w:pPr>
            <w:r>
              <w:rPr>
                <w:rFonts w:ascii="Arial" w:hAnsi="Arial" w:cs="Arial"/>
                <w:color w:val="0070C0"/>
                <w:sz w:val="20"/>
                <w:szCs w:val="20"/>
              </w:rPr>
              <w:t xml:space="preserve">Complete </w:t>
            </w:r>
            <w:r w:rsidR="00C52B40">
              <w:rPr>
                <w:rFonts w:ascii="Arial" w:hAnsi="Arial" w:cs="Arial"/>
                <w:color w:val="0070C0"/>
                <w:sz w:val="20"/>
                <w:szCs w:val="20"/>
              </w:rPr>
              <w:t xml:space="preserve">case study for </w:t>
            </w:r>
            <w:proofErr w:type="spellStart"/>
            <w:r w:rsidR="00C52B40">
              <w:rPr>
                <w:rFonts w:ascii="Arial" w:hAnsi="Arial" w:cs="Arial"/>
                <w:color w:val="0070C0"/>
                <w:sz w:val="20"/>
                <w:szCs w:val="20"/>
              </w:rPr>
              <w:t>frac</w:t>
            </w:r>
            <w:proofErr w:type="spellEnd"/>
            <w:r w:rsidR="00C52B40">
              <w:rPr>
                <w:rFonts w:ascii="Arial" w:hAnsi="Arial" w:cs="Arial"/>
                <w:color w:val="0070C0"/>
                <w:sz w:val="20"/>
                <w:szCs w:val="20"/>
              </w:rPr>
              <w:t xml:space="preserve"> sand whitepaper.</w:t>
            </w:r>
          </w:p>
          <w:p w14:paraId="6D03BEC8" w14:textId="718C61C8" w:rsidR="00A12782" w:rsidRDefault="00945DE1" w:rsidP="00551D8A">
            <w:pPr>
              <w:ind w:right="-720"/>
              <w:rPr>
                <w:rFonts w:ascii="Arial" w:hAnsi="Arial" w:cs="Arial"/>
                <w:color w:val="0070C0"/>
                <w:sz w:val="20"/>
                <w:szCs w:val="20"/>
              </w:rPr>
            </w:pPr>
            <w:r>
              <w:rPr>
                <w:rFonts w:ascii="Arial" w:hAnsi="Arial" w:cs="Arial"/>
                <w:color w:val="0070C0"/>
                <w:sz w:val="20"/>
                <w:szCs w:val="20"/>
              </w:rPr>
              <w:t xml:space="preserve">Complete OSOW </w:t>
            </w:r>
            <w:proofErr w:type="gramStart"/>
            <w:r>
              <w:rPr>
                <w:rFonts w:ascii="Arial" w:hAnsi="Arial" w:cs="Arial"/>
                <w:color w:val="0070C0"/>
                <w:sz w:val="20"/>
                <w:szCs w:val="20"/>
              </w:rPr>
              <w:t>t</w:t>
            </w:r>
            <w:r w:rsidR="00C52B40">
              <w:rPr>
                <w:rFonts w:ascii="Arial" w:hAnsi="Arial" w:cs="Arial"/>
                <w:color w:val="0070C0"/>
                <w:sz w:val="20"/>
                <w:szCs w:val="20"/>
              </w:rPr>
              <w:t xml:space="preserve">ask </w:t>
            </w:r>
            <w:r w:rsidR="00A12782" w:rsidRPr="00707201">
              <w:rPr>
                <w:rFonts w:ascii="Arial" w:hAnsi="Arial" w:cs="Arial"/>
                <w:color w:val="0070C0"/>
                <w:sz w:val="20"/>
                <w:szCs w:val="20"/>
              </w:rPr>
              <w:t>which</w:t>
            </w:r>
            <w:proofErr w:type="gramEnd"/>
            <w:r w:rsidR="00A12782" w:rsidRPr="00707201">
              <w:rPr>
                <w:rFonts w:ascii="Arial" w:hAnsi="Arial" w:cs="Arial"/>
                <w:color w:val="0070C0"/>
                <w:sz w:val="20"/>
                <w:szCs w:val="20"/>
              </w:rPr>
              <w:t xml:space="preserve"> has been expanded in the contract amendment.</w:t>
            </w:r>
            <w:r w:rsidR="00FA29BB">
              <w:rPr>
                <w:rFonts w:ascii="Arial" w:hAnsi="Arial" w:cs="Arial"/>
                <w:color w:val="0070C0"/>
                <w:sz w:val="20"/>
                <w:szCs w:val="20"/>
              </w:rPr>
              <w:t xml:space="preserve"> Attend AASHTO SCOHT meeting.</w:t>
            </w:r>
          </w:p>
          <w:p w14:paraId="43BAE8AE" w14:textId="659EC37A" w:rsidR="00AA56D4" w:rsidRPr="00AA56D4" w:rsidRDefault="00136462" w:rsidP="00551D8A">
            <w:pPr>
              <w:ind w:right="-720"/>
              <w:rPr>
                <w:rFonts w:ascii="Arial" w:hAnsi="Arial" w:cs="Arial"/>
                <w:color w:val="0070C0"/>
                <w:sz w:val="20"/>
                <w:szCs w:val="20"/>
              </w:rPr>
            </w:pPr>
            <w:r>
              <w:rPr>
                <w:rFonts w:ascii="Arial" w:hAnsi="Arial" w:cs="Arial"/>
                <w:color w:val="0070C0"/>
                <w:sz w:val="20"/>
                <w:szCs w:val="20"/>
              </w:rPr>
              <w:t xml:space="preserve">Continue </w:t>
            </w:r>
            <w:r w:rsidR="00F923A3">
              <w:rPr>
                <w:rFonts w:ascii="Arial" w:hAnsi="Arial" w:cs="Arial"/>
                <w:color w:val="0070C0"/>
                <w:sz w:val="20"/>
                <w:szCs w:val="20"/>
              </w:rPr>
              <w:t>work on environmental justice.</w:t>
            </w:r>
          </w:p>
          <w:p w14:paraId="747D35F2" w14:textId="12AAFF54" w:rsidR="008A4DA8" w:rsidRDefault="00945DE1" w:rsidP="00551D8A">
            <w:pPr>
              <w:ind w:right="-720"/>
              <w:rPr>
                <w:rFonts w:ascii="Arial" w:hAnsi="Arial" w:cs="Arial"/>
                <w:color w:val="0070C0"/>
                <w:sz w:val="20"/>
                <w:szCs w:val="20"/>
              </w:rPr>
            </w:pPr>
            <w:r>
              <w:rPr>
                <w:rFonts w:ascii="Arial" w:hAnsi="Arial" w:cs="Arial"/>
                <w:color w:val="0070C0"/>
                <w:sz w:val="20"/>
                <w:szCs w:val="20"/>
              </w:rPr>
              <w:t>Design framework for final report.</w:t>
            </w:r>
          </w:p>
          <w:p w14:paraId="0323EA94" w14:textId="77777777" w:rsidR="00601EBD" w:rsidRDefault="00C52B40" w:rsidP="00551D8A">
            <w:pPr>
              <w:ind w:right="-720"/>
              <w:rPr>
                <w:rFonts w:ascii="Arial" w:hAnsi="Arial" w:cs="Arial"/>
                <w:color w:val="0070C0"/>
                <w:sz w:val="20"/>
                <w:szCs w:val="20"/>
              </w:rPr>
            </w:pPr>
            <w:r>
              <w:rPr>
                <w:rFonts w:ascii="Arial" w:hAnsi="Arial" w:cs="Arial"/>
                <w:color w:val="0070C0"/>
                <w:sz w:val="20"/>
                <w:szCs w:val="20"/>
              </w:rPr>
              <w:t>Finalize cost/benefit work</w:t>
            </w:r>
            <w:r w:rsidR="00F923A3">
              <w:rPr>
                <w:rFonts w:ascii="Arial" w:hAnsi="Arial" w:cs="Arial"/>
                <w:color w:val="0070C0"/>
                <w:sz w:val="20"/>
                <w:szCs w:val="20"/>
              </w:rPr>
              <w:t>.</w:t>
            </w:r>
          </w:p>
          <w:p w14:paraId="3D4DC3EB" w14:textId="21706BDC" w:rsidR="00F923A3" w:rsidRPr="00C52B40" w:rsidRDefault="00FA29BB" w:rsidP="00551D8A">
            <w:pPr>
              <w:ind w:right="-720"/>
              <w:rPr>
                <w:rFonts w:ascii="Arial" w:hAnsi="Arial" w:cs="Arial"/>
                <w:color w:val="0070C0"/>
                <w:sz w:val="20"/>
                <w:szCs w:val="20"/>
              </w:rPr>
            </w:pPr>
            <w:r>
              <w:rPr>
                <w:rFonts w:ascii="Arial" w:hAnsi="Arial" w:cs="Arial"/>
                <w:color w:val="0070C0"/>
                <w:sz w:val="20"/>
                <w:szCs w:val="20"/>
              </w:rPr>
              <w:t xml:space="preserve">Present </w:t>
            </w:r>
            <w:proofErr w:type="spellStart"/>
            <w:r>
              <w:rPr>
                <w:rFonts w:ascii="Arial" w:hAnsi="Arial" w:cs="Arial"/>
                <w:color w:val="0070C0"/>
                <w:sz w:val="20"/>
                <w:szCs w:val="20"/>
              </w:rPr>
              <w:t>Frac</w:t>
            </w:r>
            <w:proofErr w:type="spellEnd"/>
            <w:r>
              <w:rPr>
                <w:rFonts w:ascii="Arial" w:hAnsi="Arial" w:cs="Arial"/>
                <w:color w:val="0070C0"/>
                <w:sz w:val="20"/>
                <w:szCs w:val="20"/>
              </w:rPr>
              <w:t xml:space="preserve"> Sand Paper at Mid-</w:t>
            </w:r>
            <w:r w:rsidR="00F923A3">
              <w:rPr>
                <w:rFonts w:ascii="Arial" w:hAnsi="Arial" w:cs="Arial"/>
                <w:color w:val="0070C0"/>
                <w:sz w:val="20"/>
                <w:szCs w:val="20"/>
              </w:rPr>
              <w:t>Continent</w:t>
            </w:r>
          </w:p>
        </w:tc>
      </w:tr>
    </w:tbl>
    <w:p w14:paraId="271BDC8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AE6BA9" w14:textId="77777777" w:rsidTr="00601EBD">
        <w:tc>
          <w:tcPr>
            <w:tcW w:w="10908" w:type="dxa"/>
          </w:tcPr>
          <w:p w14:paraId="72E7D99E" w14:textId="77777777" w:rsidR="00E35E0F" w:rsidRDefault="00E35E0F" w:rsidP="00551D8A">
            <w:pPr>
              <w:ind w:right="-720"/>
              <w:rPr>
                <w:rFonts w:ascii="Arial" w:hAnsi="Arial" w:cs="Arial"/>
                <w:b/>
                <w:sz w:val="20"/>
                <w:szCs w:val="20"/>
              </w:rPr>
            </w:pPr>
          </w:p>
          <w:p w14:paraId="4394738A"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77D6581" w14:textId="6F005A5B" w:rsidR="00601EBD" w:rsidRPr="00C52B40" w:rsidRDefault="00F94057" w:rsidP="00551D8A">
            <w:pPr>
              <w:ind w:right="-720"/>
              <w:rPr>
                <w:rFonts w:ascii="Arial" w:hAnsi="Arial" w:cs="Arial"/>
                <w:color w:val="0070C0"/>
                <w:sz w:val="20"/>
                <w:szCs w:val="20"/>
              </w:rPr>
            </w:pPr>
            <w:r w:rsidRPr="00F94057">
              <w:rPr>
                <w:rFonts w:ascii="Arial" w:hAnsi="Arial" w:cs="Arial"/>
                <w:color w:val="0070C0"/>
                <w:sz w:val="20"/>
                <w:szCs w:val="20"/>
              </w:rPr>
              <w:t>NA</w:t>
            </w:r>
          </w:p>
          <w:p w14:paraId="50ABF3A2" w14:textId="77777777" w:rsidR="00601EBD" w:rsidRDefault="00601EBD" w:rsidP="00551D8A">
            <w:pPr>
              <w:ind w:right="-720"/>
              <w:rPr>
                <w:rFonts w:ascii="Arial" w:hAnsi="Arial" w:cs="Arial"/>
                <w:b/>
                <w:sz w:val="20"/>
                <w:szCs w:val="20"/>
              </w:rPr>
            </w:pPr>
          </w:p>
        </w:tc>
      </w:tr>
      <w:tr w:rsidR="00601EBD" w14:paraId="2E909609" w14:textId="77777777" w:rsidTr="00601EBD">
        <w:tc>
          <w:tcPr>
            <w:tcW w:w="10908" w:type="dxa"/>
          </w:tcPr>
          <w:p w14:paraId="11651C1F" w14:textId="77777777" w:rsidR="00E35E0F" w:rsidRDefault="00E35E0F" w:rsidP="00551D8A">
            <w:pPr>
              <w:ind w:right="-720"/>
              <w:rPr>
                <w:rFonts w:ascii="Arial" w:hAnsi="Arial" w:cs="Arial"/>
                <w:b/>
                <w:sz w:val="20"/>
                <w:szCs w:val="20"/>
              </w:rPr>
            </w:pPr>
          </w:p>
          <w:p w14:paraId="6EF49020"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74A04AD"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2DA22DCD" w14:textId="77777777"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14:paraId="41C3D9DB" w14:textId="77777777" w:rsidR="00601EBD" w:rsidRDefault="00601EBD" w:rsidP="00551D8A">
            <w:pPr>
              <w:ind w:right="-720"/>
              <w:rPr>
                <w:rFonts w:ascii="Arial" w:hAnsi="Arial" w:cs="Arial"/>
                <w:b/>
                <w:sz w:val="20"/>
                <w:szCs w:val="20"/>
              </w:rPr>
            </w:pPr>
          </w:p>
          <w:p w14:paraId="5FFBFE29" w14:textId="3185A464" w:rsidR="00601EBD" w:rsidRPr="00C52B40" w:rsidRDefault="002B4024" w:rsidP="00551D8A">
            <w:pPr>
              <w:ind w:right="-720"/>
              <w:rPr>
                <w:rFonts w:ascii="Arial" w:hAnsi="Arial" w:cs="Arial"/>
                <w:color w:val="0070C0"/>
                <w:sz w:val="20"/>
                <w:szCs w:val="20"/>
              </w:rPr>
            </w:pPr>
            <w:r w:rsidRPr="00F94057">
              <w:rPr>
                <w:rFonts w:ascii="Arial" w:hAnsi="Arial" w:cs="Arial"/>
                <w:color w:val="0070C0"/>
                <w:sz w:val="20"/>
                <w:szCs w:val="20"/>
              </w:rPr>
              <w:t>None.</w:t>
            </w:r>
          </w:p>
          <w:p w14:paraId="615254EB" w14:textId="77777777" w:rsidR="00601EBD" w:rsidRDefault="00601EBD" w:rsidP="00F94057">
            <w:pPr>
              <w:ind w:right="-720"/>
              <w:rPr>
                <w:rFonts w:ascii="Arial" w:hAnsi="Arial" w:cs="Arial"/>
                <w:b/>
                <w:sz w:val="20"/>
                <w:szCs w:val="20"/>
              </w:rPr>
            </w:pPr>
          </w:p>
        </w:tc>
      </w:tr>
    </w:tbl>
    <w:p w14:paraId="7BD8A8D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7519F8CB" w14:textId="77777777" w:rsidTr="00E35E0F">
        <w:tc>
          <w:tcPr>
            <w:tcW w:w="10908" w:type="dxa"/>
          </w:tcPr>
          <w:p w14:paraId="41D31F12" w14:textId="77777777" w:rsidR="00E35E0F" w:rsidRDefault="00E35E0F" w:rsidP="00551D8A">
            <w:pPr>
              <w:ind w:right="-720"/>
              <w:rPr>
                <w:rFonts w:ascii="Arial" w:hAnsi="Arial" w:cs="Arial"/>
                <w:sz w:val="20"/>
                <w:szCs w:val="20"/>
              </w:rPr>
            </w:pPr>
          </w:p>
          <w:p w14:paraId="5B5BC7E2" w14:textId="77777777" w:rsidR="00E35E0F" w:rsidRDefault="00E35E0F" w:rsidP="00551D8A">
            <w:pPr>
              <w:ind w:right="-720"/>
              <w:rPr>
                <w:rFonts w:ascii="Arial" w:hAnsi="Arial" w:cs="Arial"/>
                <w:color w:val="0070C0"/>
                <w:sz w:val="20"/>
                <w:szCs w:val="20"/>
              </w:rPr>
            </w:pPr>
            <w:r w:rsidRPr="00E35E0F">
              <w:rPr>
                <w:rFonts w:ascii="Arial" w:hAnsi="Arial" w:cs="Arial"/>
                <w:b/>
                <w:sz w:val="20"/>
                <w:szCs w:val="20"/>
              </w:rPr>
              <w:t>Potential Implementation</w:t>
            </w:r>
            <w:r w:rsidR="00547EE3" w:rsidRPr="00F633F1">
              <w:rPr>
                <w:rFonts w:ascii="Arial" w:hAnsi="Arial" w:cs="Arial"/>
                <w:b/>
                <w:color w:val="0070C0"/>
                <w:sz w:val="20"/>
                <w:szCs w:val="20"/>
              </w:rPr>
              <w:t>:</w:t>
            </w:r>
            <w:r w:rsidRPr="00F633F1">
              <w:rPr>
                <w:rFonts w:ascii="Arial" w:hAnsi="Arial" w:cs="Arial"/>
                <w:color w:val="0070C0"/>
                <w:sz w:val="20"/>
                <w:szCs w:val="20"/>
              </w:rPr>
              <w:t xml:space="preserve">  </w:t>
            </w:r>
          </w:p>
          <w:tbl>
            <w:tblPr>
              <w:tblW w:w="7200" w:type="dxa"/>
              <w:tblLook w:val="04A0" w:firstRow="1" w:lastRow="0" w:firstColumn="1" w:lastColumn="0" w:noHBand="0" w:noVBand="1"/>
            </w:tblPr>
            <w:tblGrid>
              <w:gridCol w:w="1367"/>
              <w:gridCol w:w="326"/>
              <w:gridCol w:w="374"/>
              <w:gridCol w:w="276"/>
              <w:gridCol w:w="276"/>
              <w:gridCol w:w="326"/>
              <w:gridCol w:w="302"/>
              <w:gridCol w:w="338"/>
              <w:gridCol w:w="335"/>
              <w:gridCol w:w="330"/>
              <w:gridCol w:w="276"/>
              <w:gridCol w:w="299"/>
              <w:gridCol w:w="374"/>
              <w:gridCol w:w="326"/>
              <w:gridCol w:w="374"/>
              <w:gridCol w:w="276"/>
              <w:gridCol w:w="276"/>
              <w:gridCol w:w="326"/>
              <w:gridCol w:w="302"/>
              <w:gridCol w:w="338"/>
              <w:gridCol w:w="335"/>
              <w:gridCol w:w="330"/>
            </w:tblGrid>
            <w:tr w:rsidR="00BD27D8" w:rsidRPr="00BD27D8" w14:paraId="02424B2E" w14:textId="77777777" w:rsidTr="00BD27D8">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2BECE" w14:textId="77777777" w:rsidR="00BD27D8" w:rsidRPr="00BD27D8" w:rsidRDefault="00BD27D8" w:rsidP="00BD27D8">
                  <w:pPr>
                    <w:spacing w:after="0" w:line="240" w:lineRule="auto"/>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Task</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573EBCBA"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A</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1CDB07E2"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M</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19CA3A8D"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J</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7E34F7B4"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J</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510FB557"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A</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62ACBBAC"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S</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17A892FF"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O</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391C0E7D"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N</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0464A0B0"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D</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23753A29"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J</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6344EF8A"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F</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66A66742"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M</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18D43EEC"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A</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217EA573"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M</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129DEBB8"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J</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4F68BB7F"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J</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7FEDE62D"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A</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64A453E4"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S</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0F33424C"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O</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3C8329BD"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N</w:t>
                  </w:r>
                </w:p>
              </w:tc>
              <w:tc>
                <w:tcPr>
                  <w:tcW w:w="280" w:type="dxa"/>
                  <w:tcBorders>
                    <w:top w:val="single" w:sz="8" w:space="0" w:color="auto"/>
                    <w:left w:val="nil"/>
                    <w:bottom w:val="single" w:sz="8" w:space="0" w:color="auto"/>
                    <w:right w:val="single" w:sz="8" w:space="0" w:color="auto"/>
                  </w:tcBorders>
                  <w:shd w:val="clear" w:color="auto" w:fill="auto"/>
                  <w:vAlign w:val="center"/>
                  <w:hideMark/>
                </w:tcPr>
                <w:p w14:paraId="0EE5001E" w14:textId="77777777" w:rsidR="00BD27D8" w:rsidRPr="00BD27D8" w:rsidRDefault="00BD27D8" w:rsidP="00BD27D8">
                  <w:pPr>
                    <w:spacing w:after="0" w:line="240" w:lineRule="auto"/>
                    <w:jc w:val="center"/>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D</w:t>
                  </w:r>
                </w:p>
              </w:tc>
            </w:tr>
            <w:tr w:rsidR="00BD27D8" w:rsidRPr="00BD27D8" w14:paraId="00F97705" w14:textId="77777777" w:rsidTr="00BD27D8">
              <w:trPr>
                <w:trHeight w:val="1460"/>
              </w:trPr>
              <w:tc>
                <w:tcPr>
                  <w:tcW w:w="1320" w:type="dxa"/>
                  <w:tcBorders>
                    <w:top w:val="nil"/>
                    <w:left w:val="single" w:sz="8" w:space="0" w:color="auto"/>
                    <w:bottom w:val="single" w:sz="8" w:space="0" w:color="auto"/>
                    <w:right w:val="single" w:sz="8" w:space="0" w:color="auto"/>
                  </w:tcBorders>
                  <w:shd w:val="clear" w:color="000000" w:fill="FFFFFF"/>
                  <w:vAlign w:val="center"/>
                  <w:hideMark/>
                </w:tcPr>
                <w:p w14:paraId="444AD3BD" w14:textId="2F4852EE" w:rsidR="00BD27D8" w:rsidRPr="00BD27D8" w:rsidRDefault="00BD27D8" w:rsidP="00BD27D8">
                  <w:pPr>
                    <w:spacing w:after="0" w:line="240" w:lineRule="auto"/>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Identify national and regionally significant freigh</w:t>
                  </w:r>
                  <w:r>
                    <w:rPr>
                      <w:rFonts w:ascii="Calibri" w:eastAsia="Times New Roman" w:hAnsi="Calibri" w:cs="Times New Roman"/>
                      <w:b/>
                      <w:bCs/>
                      <w:color w:val="000000"/>
                      <w:sz w:val="18"/>
                      <w:szCs w:val="18"/>
                    </w:rPr>
                    <w:t xml:space="preserve">t </w:t>
                  </w:r>
                  <w:r w:rsidRPr="00BD27D8">
                    <w:rPr>
                      <w:rFonts w:ascii="Calibri" w:eastAsia="Times New Roman" w:hAnsi="Calibri" w:cs="Times New Roman"/>
                      <w:b/>
                      <w:bCs/>
                      <w:color w:val="000000"/>
                      <w:sz w:val="18"/>
                      <w:szCs w:val="18"/>
                    </w:rPr>
                    <w:t>corridors and</w:t>
                  </w:r>
                  <w:r>
                    <w:rPr>
                      <w:rFonts w:ascii="Calibri" w:eastAsia="Times New Roman" w:hAnsi="Calibri" w:cs="Times New Roman"/>
                      <w:b/>
                      <w:bCs/>
                      <w:color w:val="000000"/>
                      <w:sz w:val="18"/>
                      <w:szCs w:val="18"/>
                    </w:rPr>
                    <w:t xml:space="preserve"> </w:t>
                  </w:r>
                  <w:r w:rsidRPr="00BD27D8">
                    <w:rPr>
                      <w:rFonts w:ascii="Calibri" w:eastAsia="Times New Roman" w:hAnsi="Calibri" w:cs="Times New Roman"/>
                      <w:b/>
                      <w:bCs/>
                      <w:color w:val="000000"/>
                      <w:sz w:val="18"/>
                      <w:szCs w:val="18"/>
                    </w:rPr>
                    <w:t>nodes</w:t>
                  </w:r>
                </w:p>
              </w:tc>
              <w:tc>
                <w:tcPr>
                  <w:tcW w:w="280" w:type="dxa"/>
                  <w:tcBorders>
                    <w:top w:val="nil"/>
                    <w:left w:val="nil"/>
                    <w:bottom w:val="single" w:sz="8" w:space="0" w:color="auto"/>
                    <w:right w:val="single" w:sz="8" w:space="0" w:color="auto"/>
                  </w:tcBorders>
                  <w:shd w:val="clear" w:color="auto" w:fill="auto"/>
                  <w:vAlign w:val="center"/>
                  <w:hideMark/>
                </w:tcPr>
                <w:p w14:paraId="05A9E411"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619F0198"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2C0CFE82"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098C965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717094F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0710CB1D"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2A4CCE4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5F937E12"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38585C6B"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30DE539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5C394562"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C279AAB"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36655256"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68147A4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74A3786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3E4F620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0671B47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5325ED7C"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7114923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3D3A8F4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0A97EA0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r>
            <w:tr w:rsidR="00BD27D8" w:rsidRPr="00BD27D8" w14:paraId="0F5EFB01" w14:textId="77777777" w:rsidTr="00BD27D8">
              <w:trPr>
                <w:trHeight w:val="1640"/>
              </w:trPr>
              <w:tc>
                <w:tcPr>
                  <w:tcW w:w="1320" w:type="dxa"/>
                  <w:tcBorders>
                    <w:top w:val="nil"/>
                    <w:left w:val="single" w:sz="8" w:space="0" w:color="auto"/>
                    <w:bottom w:val="single" w:sz="8" w:space="0" w:color="auto"/>
                    <w:right w:val="single" w:sz="8" w:space="0" w:color="auto"/>
                  </w:tcBorders>
                  <w:shd w:val="clear" w:color="000000" w:fill="FFFFFF"/>
                  <w:vAlign w:val="center"/>
                  <w:hideMark/>
                </w:tcPr>
                <w:p w14:paraId="7D57ACF1" w14:textId="77777777" w:rsidR="00BD27D8" w:rsidRPr="00BD27D8" w:rsidRDefault="00BD27D8" w:rsidP="00BD27D8">
                  <w:pPr>
                    <w:spacing w:after="0" w:line="240" w:lineRule="auto"/>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Assess and integrate business climate perspectives of freight</w:t>
                  </w:r>
                </w:p>
              </w:tc>
              <w:tc>
                <w:tcPr>
                  <w:tcW w:w="280" w:type="dxa"/>
                  <w:tcBorders>
                    <w:top w:val="nil"/>
                    <w:left w:val="nil"/>
                    <w:bottom w:val="single" w:sz="8" w:space="0" w:color="auto"/>
                    <w:right w:val="single" w:sz="8" w:space="0" w:color="auto"/>
                  </w:tcBorders>
                  <w:shd w:val="clear" w:color="auto" w:fill="auto"/>
                  <w:vAlign w:val="center"/>
                  <w:hideMark/>
                </w:tcPr>
                <w:p w14:paraId="2792874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3B5B5E4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3B3C438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11F6557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3238EF5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4D43099D"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1FD4B58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3E45190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7BDD9CE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7FD8F35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40FCAEC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38C984C6"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25F7652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1EF0CFC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760D99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79895CA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25B5A10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43F07D1D"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7BFC9201"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237A33B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221EB6F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r>
            <w:tr w:rsidR="00BD27D8" w:rsidRPr="00BD27D8" w14:paraId="1A0D25D0" w14:textId="77777777" w:rsidTr="00FA29BB">
              <w:trPr>
                <w:trHeight w:val="1420"/>
              </w:trPr>
              <w:tc>
                <w:tcPr>
                  <w:tcW w:w="1320" w:type="dxa"/>
                  <w:tcBorders>
                    <w:top w:val="nil"/>
                    <w:left w:val="single" w:sz="8" w:space="0" w:color="auto"/>
                    <w:bottom w:val="single" w:sz="8" w:space="0" w:color="auto"/>
                    <w:right w:val="single" w:sz="8" w:space="0" w:color="auto"/>
                  </w:tcBorders>
                  <w:shd w:val="clear" w:color="000000" w:fill="FFFFFF"/>
                  <w:vAlign w:val="center"/>
                  <w:hideMark/>
                </w:tcPr>
                <w:p w14:paraId="49D008D7" w14:textId="04A232CE" w:rsidR="00BD27D8" w:rsidRPr="00BD27D8" w:rsidRDefault="00BD27D8" w:rsidP="00BD27D8">
                  <w:pPr>
                    <w:spacing w:after="0" w:line="240" w:lineRule="auto"/>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Develop a suite of fre</w:t>
                  </w:r>
                  <w:r>
                    <w:rPr>
                      <w:rFonts w:ascii="Calibri" w:eastAsia="Times New Roman" w:hAnsi="Calibri" w:cs="Times New Roman"/>
                      <w:b/>
                      <w:bCs/>
                      <w:color w:val="000000"/>
                      <w:sz w:val="18"/>
                      <w:szCs w:val="18"/>
                    </w:rPr>
                    <w:t>i</w:t>
                  </w:r>
                  <w:r w:rsidRPr="00BD27D8">
                    <w:rPr>
                      <w:rFonts w:ascii="Calibri" w:eastAsia="Times New Roman" w:hAnsi="Calibri" w:cs="Times New Roman"/>
                      <w:b/>
                      <w:bCs/>
                      <w:color w:val="000000"/>
                      <w:sz w:val="18"/>
                      <w:szCs w:val="18"/>
                    </w:rPr>
                    <w:t>ght project planning and project evaluation tools</w:t>
                  </w:r>
                </w:p>
              </w:tc>
              <w:tc>
                <w:tcPr>
                  <w:tcW w:w="280" w:type="dxa"/>
                  <w:tcBorders>
                    <w:top w:val="nil"/>
                    <w:left w:val="nil"/>
                    <w:bottom w:val="single" w:sz="8" w:space="0" w:color="auto"/>
                    <w:right w:val="single" w:sz="8" w:space="0" w:color="auto"/>
                  </w:tcBorders>
                  <w:shd w:val="clear" w:color="auto" w:fill="auto"/>
                  <w:vAlign w:val="center"/>
                  <w:hideMark/>
                </w:tcPr>
                <w:p w14:paraId="4CEFF1C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2C1B38A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2B5A5FCD"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451A073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1294080D"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5405953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753B400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7D14BBA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F6F4DBC"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0C05DFF8"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586DE92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0B97A3D8"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53753AE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5362B5C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0CE4235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272C226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6330E84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664B558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731D6AF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4A9E86A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3E9FF88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r>
            <w:tr w:rsidR="00BD27D8" w:rsidRPr="00BD27D8" w14:paraId="54CA8FD3" w14:textId="77777777" w:rsidTr="00FA29BB">
              <w:trPr>
                <w:trHeight w:val="1180"/>
              </w:trPr>
              <w:tc>
                <w:tcPr>
                  <w:tcW w:w="1320" w:type="dxa"/>
                  <w:tcBorders>
                    <w:top w:val="nil"/>
                    <w:left w:val="single" w:sz="8" w:space="0" w:color="auto"/>
                    <w:bottom w:val="single" w:sz="8" w:space="0" w:color="auto"/>
                    <w:right w:val="single" w:sz="8" w:space="0" w:color="auto"/>
                  </w:tcBorders>
                  <w:shd w:val="clear" w:color="000000" w:fill="FFFFFF"/>
                  <w:vAlign w:val="center"/>
                  <w:hideMark/>
                </w:tcPr>
                <w:p w14:paraId="057051D7" w14:textId="77777777" w:rsidR="00BD27D8" w:rsidRPr="00BD27D8" w:rsidRDefault="00BD27D8" w:rsidP="00BD27D8">
                  <w:pPr>
                    <w:spacing w:after="0" w:line="240" w:lineRule="auto"/>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Assess regional integration of OSOW considerations</w:t>
                  </w:r>
                </w:p>
              </w:tc>
              <w:tc>
                <w:tcPr>
                  <w:tcW w:w="280" w:type="dxa"/>
                  <w:tcBorders>
                    <w:top w:val="nil"/>
                    <w:left w:val="nil"/>
                    <w:bottom w:val="single" w:sz="8" w:space="0" w:color="auto"/>
                    <w:right w:val="single" w:sz="8" w:space="0" w:color="auto"/>
                  </w:tcBorders>
                  <w:shd w:val="clear" w:color="000000" w:fill="BFBFBF"/>
                  <w:vAlign w:val="center"/>
                  <w:hideMark/>
                </w:tcPr>
                <w:p w14:paraId="41005E3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462AB41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6F4C20A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568DDDB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1B7FAC18"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0BF9DCC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0B987446"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72B1661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1AA55C5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54D43811"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6C77C26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496B097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2A5819A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single" w:sz="8" w:space="0" w:color="auto"/>
                    <w:left w:val="nil"/>
                    <w:bottom w:val="single" w:sz="8" w:space="0" w:color="auto"/>
                    <w:right w:val="single" w:sz="8" w:space="0" w:color="auto"/>
                  </w:tcBorders>
                  <w:shd w:val="clear" w:color="000000" w:fill="auto"/>
                  <w:vAlign w:val="center"/>
                  <w:hideMark/>
                </w:tcPr>
                <w:p w14:paraId="10DC6D8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single" w:sz="8" w:space="0" w:color="auto"/>
                    <w:left w:val="nil"/>
                    <w:bottom w:val="single" w:sz="8" w:space="0" w:color="auto"/>
                    <w:right w:val="single" w:sz="8" w:space="0" w:color="auto"/>
                  </w:tcBorders>
                  <w:shd w:val="clear" w:color="000000" w:fill="auto"/>
                  <w:vAlign w:val="center"/>
                  <w:hideMark/>
                </w:tcPr>
                <w:p w14:paraId="7362189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single" w:sz="8" w:space="0" w:color="auto"/>
                    <w:left w:val="nil"/>
                    <w:bottom w:val="single" w:sz="8" w:space="0" w:color="auto"/>
                    <w:right w:val="single" w:sz="8" w:space="0" w:color="auto"/>
                  </w:tcBorders>
                  <w:shd w:val="clear" w:color="auto" w:fill="B3B3B3"/>
                  <w:vAlign w:val="center"/>
                  <w:hideMark/>
                </w:tcPr>
                <w:p w14:paraId="15578A6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single" w:sz="8" w:space="0" w:color="auto"/>
                    <w:left w:val="nil"/>
                    <w:bottom w:val="single" w:sz="8" w:space="0" w:color="auto"/>
                    <w:right w:val="single" w:sz="8" w:space="0" w:color="auto"/>
                  </w:tcBorders>
                  <w:shd w:val="clear" w:color="auto" w:fill="B3B3B3"/>
                  <w:vAlign w:val="center"/>
                  <w:hideMark/>
                </w:tcPr>
                <w:p w14:paraId="5A64F74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6E6EDCD8"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2E1B2EF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63E4EA1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5FF4FE3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r>
            <w:tr w:rsidR="00BD27D8" w:rsidRPr="00BD27D8" w14:paraId="316C428A" w14:textId="77777777" w:rsidTr="00BD27D8">
              <w:trPr>
                <w:trHeight w:val="1220"/>
              </w:trPr>
              <w:tc>
                <w:tcPr>
                  <w:tcW w:w="1320" w:type="dxa"/>
                  <w:tcBorders>
                    <w:top w:val="nil"/>
                    <w:left w:val="single" w:sz="8" w:space="0" w:color="auto"/>
                    <w:bottom w:val="single" w:sz="8" w:space="0" w:color="auto"/>
                    <w:right w:val="single" w:sz="8" w:space="0" w:color="auto"/>
                  </w:tcBorders>
                  <w:shd w:val="clear" w:color="000000" w:fill="FFFFFF"/>
                  <w:vAlign w:val="center"/>
                  <w:hideMark/>
                </w:tcPr>
                <w:p w14:paraId="79FC82CA" w14:textId="77777777" w:rsidR="00BD27D8" w:rsidRPr="00BD27D8" w:rsidRDefault="00BD27D8" w:rsidP="00BD27D8">
                  <w:pPr>
                    <w:spacing w:after="0" w:line="240" w:lineRule="auto"/>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Freight performance metrics literature review</w:t>
                  </w:r>
                </w:p>
              </w:tc>
              <w:tc>
                <w:tcPr>
                  <w:tcW w:w="280" w:type="dxa"/>
                  <w:tcBorders>
                    <w:top w:val="nil"/>
                    <w:left w:val="nil"/>
                    <w:bottom w:val="single" w:sz="8" w:space="0" w:color="auto"/>
                    <w:right w:val="single" w:sz="8" w:space="0" w:color="auto"/>
                  </w:tcBorders>
                  <w:shd w:val="clear" w:color="auto" w:fill="auto"/>
                  <w:vAlign w:val="center"/>
                  <w:hideMark/>
                </w:tcPr>
                <w:p w14:paraId="67328A3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18ED9CE1"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6EA813FD"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4113D03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302798D6"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7A1F0ED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1488A0A1"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5886EA3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4AD46D3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526EAF0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7B3D3D1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775C7E61"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32693AE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0A05D73D"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D1EE36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4507A32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510A6E0D"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182CB7A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068D32D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71E53BE6"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auto" w:fill="auto"/>
                  <w:vAlign w:val="center"/>
                  <w:hideMark/>
                </w:tcPr>
                <w:p w14:paraId="0237CAD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r>
            <w:tr w:rsidR="00BD27D8" w:rsidRPr="00BD27D8" w14:paraId="54C0E2DC" w14:textId="77777777" w:rsidTr="00BD27D8">
              <w:trPr>
                <w:trHeight w:val="1220"/>
              </w:trPr>
              <w:tc>
                <w:tcPr>
                  <w:tcW w:w="1320" w:type="dxa"/>
                  <w:tcBorders>
                    <w:top w:val="nil"/>
                    <w:left w:val="single" w:sz="8" w:space="0" w:color="auto"/>
                    <w:bottom w:val="single" w:sz="8" w:space="0" w:color="auto"/>
                    <w:right w:val="single" w:sz="8" w:space="0" w:color="auto"/>
                  </w:tcBorders>
                  <w:shd w:val="clear" w:color="000000" w:fill="FFFFFF"/>
                  <w:vAlign w:val="center"/>
                  <w:hideMark/>
                </w:tcPr>
                <w:p w14:paraId="21416BB9" w14:textId="77777777" w:rsidR="00BD27D8" w:rsidRPr="00BD27D8" w:rsidRDefault="00BD27D8" w:rsidP="00BD27D8">
                  <w:pPr>
                    <w:spacing w:after="0" w:line="240" w:lineRule="auto"/>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Identify and assess timely and cutting- edge freight opportunities</w:t>
                  </w:r>
                </w:p>
              </w:tc>
              <w:tc>
                <w:tcPr>
                  <w:tcW w:w="280" w:type="dxa"/>
                  <w:tcBorders>
                    <w:top w:val="nil"/>
                    <w:left w:val="nil"/>
                    <w:bottom w:val="single" w:sz="8" w:space="0" w:color="auto"/>
                    <w:right w:val="single" w:sz="8" w:space="0" w:color="auto"/>
                  </w:tcBorders>
                  <w:shd w:val="clear" w:color="000000" w:fill="FFFFFF"/>
                  <w:vAlign w:val="center"/>
                  <w:hideMark/>
                </w:tcPr>
                <w:p w14:paraId="65CE5C8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38C10D26"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61223DAC"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79A4EBA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FFFFFF"/>
                  <w:vAlign w:val="center"/>
                  <w:hideMark/>
                </w:tcPr>
                <w:p w14:paraId="46F0CB98"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EBF57F8"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2D9E7F1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347E5F76"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6F20FDF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5FBCE81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6D20AD11"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99C68E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207125FC"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2FCAF3A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7F18BC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288D44A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4E8F032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5F788BC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2E97AD0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0BD6E8C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4EACC2FA"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r>
            <w:tr w:rsidR="00BD27D8" w:rsidRPr="00BD27D8" w14:paraId="4F485EB4" w14:textId="77777777" w:rsidTr="00BD27D8">
              <w:trPr>
                <w:trHeight w:val="1120"/>
              </w:trPr>
              <w:tc>
                <w:tcPr>
                  <w:tcW w:w="1320" w:type="dxa"/>
                  <w:tcBorders>
                    <w:top w:val="nil"/>
                    <w:left w:val="single" w:sz="8" w:space="0" w:color="auto"/>
                    <w:bottom w:val="single" w:sz="8" w:space="0" w:color="auto"/>
                    <w:right w:val="single" w:sz="8" w:space="0" w:color="auto"/>
                  </w:tcBorders>
                  <w:shd w:val="clear" w:color="000000" w:fill="FFFFFF"/>
                  <w:vAlign w:val="center"/>
                  <w:hideMark/>
                </w:tcPr>
                <w:p w14:paraId="06CBFD4C" w14:textId="77777777" w:rsidR="00BD27D8" w:rsidRPr="00BD27D8" w:rsidRDefault="00BD27D8" w:rsidP="00BD27D8">
                  <w:pPr>
                    <w:spacing w:after="0" w:line="240" w:lineRule="auto"/>
                    <w:rPr>
                      <w:rFonts w:ascii="Calibri" w:eastAsia="Times New Roman" w:hAnsi="Calibri" w:cs="Times New Roman"/>
                      <w:b/>
                      <w:bCs/>
                      <w:color w:val="000000"/>
                      <w:sz w:val="18"/>
                      <w:szCs w:val="18"/>
                    </w:rPr>
                  </w:pPr>
                  <w:r w:rsidRPr="00BD27D8">
                    <w:rPr>
                      <w:rFonts w:ascii="Calibri" w:eastAsia="Times New Roman" w:hAnsi="Calibri" w:cs="Times New Roman"/>
                      <w:b/>
                      <w:bCs/>
                      <w:color w:val="000000"/>
                      <w:sz w:val="18"/>
                      <w:szCs w:val="18"/>
                    </w:rPr>
                    <w:t>Data/project management/ documentation effort</w:t>
                  </w:r>
                </w:p>
              </w:tc>
              <w:tc>
                <w:tcPr>
                  <w:tcW w:w="280" w:type="dxa"/>
                  <w:tcBorders>
                    <w:top w:val="nil"/>
                    <w:left w:val="nil"/>
                    <w:bottom w:val="single" w:sz="8" w:space="0" w:color="auto"/>
                    <w:right w:val="single" w:sz="8" w:space="0" w:color="auto"/>
                  </w:tcBorders>
                  <w:shd w:val="clear" w:color="000000" w:fill="BFBFBF"/>
                  <w:vAlign w:val="center"/>
                  <w:hideMark/>
                </w:tcPr>
                <w:p w14:paraId="5AC10B4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3AD96A65"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41D37DDB"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69901A3D"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584B94A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6692226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0F3FC169"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BEB9EC1"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3936222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6CC8724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60D403C6"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40A1ACF4"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574E74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40DA6CE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691DF4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752E463B"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0B49372E"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12D68900"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4B527BB3"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36604C6F"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c>
                <w:tcPr>
                  <w:tcW w:w="280" w:type="dxa"/>
                  <w:tcBorders>
                    <w:top w:val="nil"/>
                    <w:left w:val="nil"/>
                    <w:bottom w:val="single" w:sz="8" w:space="0" w:color="auto"/>
                    <w:right w:val="single" w:sz="8" w:space="0" w:color="auto"/>
                  </w:tcBorders>
                  <w:shd w:val="clear" w:color="000000" w:fill="BFBFBF"/>
                  <w:vAlign w:val="center"/>
                  <w:hideMark/>
                </w:tcPr>
                <w:p w14:paraId="2760FFF7" w14:textId="77777777" w:rsidR="00BD27D8" w:rsidRPr="00BD27D8" w:rsidRDefault="00BD27D8" w:rsidP="00BD27D8">
                  <w:pPr>
                    <w:spacing w:after="0" w:line="240" w:lineRule="auto"/>
                    <w:rPr>
                      <w:rFonts w:ascii="Calibri" w:eastAsia="Times New Roman" w:hAnsi="Calibri" w:cs="Times New Roman"/>
                      <w:color w:val="000000"/>
                      <w:sz w:val="18"/>
                      <w:szCs w:val="18"/>
                    </w:rPr>
                  </w:pPr>
                  <w:r w:rsidRPr="00BD27D8">
                    <w:rPr>
                      <w:rFonts w:ascii="Calibri" w:eastAsia="Times New Roman" w:hAnsi="Calibri" w:cs="Times New Roman"/>
                      <w:color w:val="000000"/>
                      <w:sz w:val="18"/>
                      <w:szCs w:val="18"/>
                    </w:rPr>
                    <w:t> </w:t>
                  </w:r>
                </w:p>
              </w:tc>
            </w:tr>
          </w:tbl>
          <w:p w14:paraId="5982418F" w14:textId="77777777" w:rsidR="00E35E0F" w:rsidRDefault="00E35E0F" w:rsidP="00551D8A">
            <w:pPr>
              <w:ind w:right="-720"/>
              <w:rPr>
                <w:rFonts w:ascii="Arial" w:hAnsi="Arial" w:cs="Arial"/>
                <w:sz w:val="20"/>
                <w:szCs w:val="20"/>
              </w:rPr>
            </w:pPr>
          </w:p>
        </w:tc>
      </w:tr>
    </w:tbl>
    <w:p w14:paraId="006A6887" w14:textId="77777777" w:rsidR="00E35E0F" w:rsidRPr="00743C01" w:rsidRDefault="00E35E0F" w:rsidP="00C52B40">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FAEE1" w14:textId="77777777" w:rsidR="00FA29BB" w:rsidRDefault="00FA29BB" w:rsidP="00106C83">
      <w:pPr>
        <w:spacing w:after="0" w:line="240" w:lineRule="auto"/>
      </w:pPr>
      <w:r>
        <w:separator/>
      </w:r>
    </w:p>
  </w:endnote>
  <w:endnote w:type="continuationSeparator" w:id="0">
    <w:p w14:paraId="6834A2CF" w14:textId="77777777" w:rsidR="00FA29BB" w:rsidRDefault="00FA29B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B75D0" w14:textId="77777777" w:rsidR="00FA29BB" w:rsidRDefault="00FA29BB" w:rsidP="00E371D1">
    <w:pPr>
      <w:pStyle w:val="Footer"/>
      <w:ind w:left="-810"/>
    </w:pPr>
    <w:r>
      <w:t>TPF Program Standard Quarterly Reporting Format – 7/2011</w:t>
    </w:r>
  </w:p>
  <w:p w14:paraId="602354B9" w14:textId="77777777" w:rsidR="00FA29BB" w:rsidRDefault="00FA29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8C25C" w14:textId="77777777" w:rsidR="00FA29BB" w:rsidRDefault="00FA29BB" w:rsidP="00106C83">
      <w:pPr>
        <w:spacing w:after="0" w:line="240" w:lineRule="auto"/>
      </w:pPr>
      <w:r>
        <w:separator/>
      </w:r>
    </w:p>
  </w:footnote>
  <w:footnote w:type="continuationSeparator" w:id="0">
    <w:p w14:paraId="6BCC7286" w14:textId="77777777" w:rsidR="00FA29BB" w:rsidRDefault="00FA29BB" w:rsidP="00106C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16002"/>
    <w:multiLevelType w:val="hybridMultilevel"/>
    <w:tmpl w:val="DBE6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4C373F"/>
    <w:multiLevelType w:val="hybridMultilevel"/>
    <w:tmpl w:val="458E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4145"/>
    <w:rsid w:val="00037FBC"/>
    <w:rsid w:val="000736BB"/>
    <w:rsid w:val="000B665A"/>
    <w:rsid w:val="000E1B7E"/>
    <w:rsid w:val="000E447F"/>
    <w:rsid w:val="00106C83"/>
    <w:rsid w:val="00115E01"/>
    <w:rsid w:val="00116BD7"/>
    <w:rsid w:val="00121C29"/>
    <w:rsid w:val="00136462"/>
    <w:rsid w:val="001547D0"/>
    <w:rsid w:val="00161153"/>
    <w:rsid w:val="001E61BA"/>
    <w:rsid w:val="001F1205"/>
    <w:rsid w:val="0021446D"/>
    <w:rsid w:val="00240AA3"/>
    <w:rsid w:val="00293FD8"/>
    <w:rsid w:val="002A2E11"/>
    <w:rsid w:val="002A79C8"/>
    <w:rsid w:val="002B4024"/>
    <w:rsid w:val="003172A4"/>
    <w:rsid w:val="0038705A"/>
    <w:rsid w:val="003B7805"/>
    <w:rsid w:val="004144E6"/>
    <w:rsid w:val="004156B2"/>
    <w:rsid w:val="00437734"/>
    <w:rsid w:val="0045408D"/>
    <w:rsid w:val="004E14DC"/>
    <w:rsid w:val="00535598"/>
    <w:rsid w:val="00547EE3"/>
    <w:rsid w:val="00551D8A"/>
    <w:rsid w:val="00561C55"/>
    <w:rsid w:val="005740C2"/>
    <w:rsid w:val="00581B36"/>
    <w:rsid w:val="00583E8E"/>
    <w:rsid w:val="00601EBD"/>
    <w:rsid w:val="00652BC0"/>
    <w:rsid w:val="006723D8"/>
    <w:rsid w:val="00682C5E"/>
    <w:rsid w:val="006E690A"/>
    <w:rsid w:val="00707201"/>
    <w:rsid w:val="0071348F"/>
    <w:rsid w:val="00743C01"/>
    <w:rsid w:val="00790C4A"/>
    <w:rsid w:val="007D5C49"/>
    <w:rsid w:val="007E5BD2"/>
    <w:rsid w:val="007E6D8B"/>
    <w:rsid w:val="008126B6"/>
    <w:rsid w:val="00814CDE"/>
    <w:rsid w:val="00830912"/>
    <w:rsid w:val="00872F18"/>
    <w:rsid w:val="00874EF7"/>
    <w:rsid w:val="00890739"/>
    <w:rsid w:val="008A4DA8"/>
    <w:rsid w:val="008E094D"/>
    <w:rsid w:val="00941862"/>
    <w:rsid w:val="00945DE1"/>
    <w:rsid w:val="00A12782"/>
    <w:rsid w:val="00A43875"/>
    <w:rsid w:val="00A63677"/>
    <w:rsid w:val="00A71C0E"/>
    <w:rsid w:val="00A74108"/>
    <w:rsid w:val="00A85EAE"/>
    <w:rsid w:val="00AA56D4"/>
    <w:rsid w:val="00AE46B0"/>
    <w:rsid w:val="00B2185C"/>
    <w:rsid w:val="00B242E2"/>
    <w:rsid w:val="00B247B1"/>
    <w:rsid w:val="00B33E72"/>
    <w:rsid w:val="00B41C3E"/>
    <w:rsid w:val="00B51641"/>
    <w:rsid w:val="00B527A1"/>
    <w:rsid w:val="00B66A21"/>
    <w:rsid w:val="00B77417"/>
    <w:rsid w:val="00BD27D8"/>
    <w:rsid w:val="00BF7AD4"/>
    <w:rsid w:val="00C13753"/>
    <w:rsid w:val="00C52B40"/>
    <w:rsid w:val="00C76F46"/>
    <w:rsid w:val="00D05DC0"/>
    <w:rsid w:val="00D450B8"/>
    <w:rsid w:val="00E03D8F"/>
    <w:rsid w:val="00E079B6"/>
    <w:rsid w:val="00E125EC"/>
    <w:rsid w:val="00E35E0F"/>
    <w:rsid w:val="00E371D1"/>
    <w:rsid w:val="00E53738"/>
    <w:rsid w:val="00E727DD"/>
    <w:rsid w:val="00ED5F67"/>
    <w:rsid w:val="00EE7A87"/>
    <w:rsid w:val="00EF08AE"/>
    <w:rsid w:val="00EF4899"/>
    <w:rsid w:val="00EF5790"/>
    <w:rsid w:val="00F23CC7"/>
    <w:rsid w:val="00F633F1"/>
    <w:rsid w:val="00F65C58"/>
    <w:rsid w:val="00F923A3"/>
    <w:rsid w:val="00F94057"/>
    <w:rsid w:val="00FA29BB"/>
    <w:rsid w:val="00FC7124"/>
    <w:rsid w:val="00FF2A46"/>
    <w:rsid w:val="00FF32BE"/>
    <w:rsid w:val="00FF4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3A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 w:type="paragraph" w:customStyle="1" w:styleId="Default">
    <w:name w:val="Default"/>
    <w:rsid w:val="007D5C49"/>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 w:type="paragraph" w:customStyle="1" w:styleId="Default">
    <w:name w:val="Default"/>
    <w:rsid w:val="007D5C49"/>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59657">
      <w:bodyDiv w:val="1"/>
      <w:marLeft w:val="0"/>
      <w:marRight w:val="0"/>
      <w:marTop w:val="0"/>
      <w:marBottom w:val="0"/>
      <w:divBdr>
        <w:top w:val="none" w:sz="0" w:space="0" w:color="auto"/>
        <w:left w:val="none" w:sz="0" w:space="0" w:color="auto"/>
        <w:bottom w:val="none" w:sz="0" w:space="0" w:color="auto"/>
        <w:right w:val="none" w:sz="0" w:space="0" w:color="auto"/>
      </w:divBdr>
    </w:div>
    <w:div w:id="11965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637E-E9BA-A745-97EB-47B1A758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1031</Words>
  <Characters>5878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Maria Hart</cp:lastModifiedBy>
  <cp:revision>3</cp:revision>
  <cp:lastPrinted>2012-07-11T17:05:00Z</cp:lastPrinted>
  <dcterms:created xsi:type="dcterms:W3CDTF">2012-07-11T17:47:00Z</dcterms:created>
  <dcterms:modified xsi:type="dcterms:W3CDTF">2012-07-11T18:13:00Z</dcterms:modified>
</cp:coreProperties>
</file>