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D838A4" w:rsidP="0070592F">
            <w:pPr>
              <w:spacing w:before="120"/>
              <w:ind w:right="-720"/>
              <w:rPr>
                <w:rFonts w:ascii="Arial" w:hAnsi="Arial" w:cs="Arial"/>
                <w:sz w:val="20"/>
                <w:szCs w:val="20"/>
              </w:rPr>
            </w:pPr>
            <w:r w:rsidRPr="0070592F">
              <w:rPr>
                <w:rFonts w:ascii="Agency FB" w:hAnsi="Agency FB" w:cs="Arial"/>
                <w:b/>
                <w:sz w:val="24"/>
                <w:szCs w:val="24"/>
              </w:rPr>
              <w:t>√</w:t>
            </w:r>
            <w:r w:rsidR="009A4B10">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1 (January 1 – March 31)</w:t>
            </w:r>
            <w:r>
              <w:rPr>
                <w:rFonts w:ascii="Arial" w:hAnsi="Arial" w:cs="Arial"/>
                <w:sz w:val="20"/>
                <w:szCs w:val="20"/>
              </w:rPr>
              <w:t xml:space="preserve"> 2012</w:t>
            </w:r>
          </w:p>
          <w:p w:rsidR="009A4B10" w:rsidRDefault="009A4B10" w:rsidP="0070592F">
            <w:pPr>
              <w:spacing w:before="120"/>
              <w:ind w:right="-720"/>
              <w:rPr>
                <w:rFonts w:ascii="Arial" w:hAnsi="Arial" w:cs="Arial"/>
                <w:sz w:val="20"/>
                <w:szCs w:val="20"/>
              </w:rPr>
            </w:pPr>
            <w:r>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2 (April 1 – June 30)</w:t>
            </w:r>
          </w:p>
          <w:p w:rsidR="009A4B10" w:rsidRDefault="009A4B10" w:rsidP="0070592F">
            <w:pPr>
              <w:spacing w:before="120"/>
              <w:ind w:right="-720"/>
              <w:rPr>
                <w:rFonts w:ascii="Arial" w:hAnsi="Arial" w:cs="Arial"/>
                <w:sz w:val="20"/>
                <w:szCs w:val="20"/>
              </w:rPr>
            </w:pPr>
            <w:r>
              <w:rPr>
                <w:rFonts w:ascii="Arial" w:hAnsi="Arial" w:cs="Arial"/>
                <w:sz w:val="20"/>
                <w:szCs w:val="20"/>
              </w:rPr>
              <w:t xml:space="preserve">  </w:t>
            </w:r>
            <w:r w:rsidR="0070592F">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D838A4" w:rsidP="0070592F">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proofErr w:type="spellStart"/>
            <w:r w:rsidRPr="009A4B10">
              <w:rPr>
                <w:rFonts w:ascii="Arial" w:hAnsi="Arial" w:cs="Arial"/>
                <w:sz w:val="20"/>
                <w:szCs w:val="20"/>
              </w:rPr>
              <w:t>Superpave</w:t>
            </w:r>
            <w:proofErr w:type="spellEnd"/>
            <w:r w:rsidRPr="009A4B10">
              <w:rPr>
                <w:rFonts w:ascii="Arial" w:hAnsi="Arial" w:cs="Arial"/>
                <w:sz w:val="20"/>
                <w:szCs w:val="20"/>
              </w:rPr>
              <w:t xml:space="preser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8D1AB6" w:rsidP="00551D8A">
      <w:pPr>
        <w:spacing w:after="0"/>
        <w:ind w:left="-720" w:right="-720"/>
        <w:rPr>
          <w:rFonts w:ascii="Arial" w:hAnsi="Arial" w:cs="Arial"/>
          <w:sz w:val="20"/>
          <w:szCs w:val="20"/>
        </w:rPr>
      </w:pPr>
      <w:r>
        <w:rPr>
          <w:rFonts w:ascii="Agency FB" w:hAnsi="Agency FB" w:cs="Arial"/>
          <w:sz w:val="36"/>
          <w:szCs w:val="36"/>
        </w:rPr>
        <w:t>√</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36"/>
          <w:szCs w:val="36"/>
        </w:rPr>
        <w:t xml:space="preserve">  </w:t>
      </w:r>
      <w:r w:rsidR="00743C01" w:rsidRPr="00B66A21">
        <w:rPr>
          <w:rFonts w:ascii="Arial" w:hAnsi="Arial" w:cs="Arial"/>
          <w:sz w:val="36"/>
          <w:szCs w:val="36"/>
        </w:rPr>
        <w:t xml:space="preserve"> </w:t>
      </w:r>
      <w:r>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000849">
            <w:pPr>
              <w:ind w:right="-720"/>
              <w:rPr>
                <w:rFonts w:ascii="Arial" w:hAnsi="Arial" w:cs="Arial"/>
                <w:b/>
                <w:sz w:val="20"/>
                <w:szCs w:val="20"/>
              </w:rPr>
            </w:pPr>
            <w:r w:rsidRPr="00C13753">
              <w:rPr>
                <w:rFonts w:ascii="Arial" w:hAnsi="Arial" w:cs="Arial"/>
                <w:b/>
                <w:sz w:val="20"/>
                <w:szCs w:val="20"/>
              </w:rPr>
              <w:t xml:space="preserve"> </w:t>
            </w:r>
            <w:r w:rsidR="00000849">
              <w:rPr>
                <w:rFonts w:ascii="Arial" w:hAnsi="Arial" w:cs="Arial"/>
                <w:b/>
                <w:sz w:val="20"/>
                <w:szCs w:val="20"/>
              </w:rPr>
              <w:t>Previous</w:t>
            </w:r>
            <w:r w:rsidR="00874EF7" w:rsidRPr="00C13753">
              <w:rPr>
                <w:rFonts w:ascii="Arial" w:hAnsi="Arial" w:cs="Arial"/>
                <w:b/>
                <w:sz w:val="20"/>
                <w:szCs w:val="20"/>
              </w:rPr>
              <w:t xml:space="preserve"> </w:t>
            </w:r>
            <w:r w:rsidR="00000849">
              <w:rPr>
                <w:rFonts w:ascii="Arial" w:hAnsi="Arial" w:cs="Arial"/>
                <w:b/>
                <w:sz w:val="20"/>
                <w:szCs w:val="20"/>
              </w:rPr>
              <w:t xml:space="preserve">Total </w:t>
            </w:r>
            <w:r w:rsidR="00B66A21" w:rsidRPr="00C13753">
              <w:rPr>
                <w:rFonts w:ascii="Arial" w:hAnsi="Arial" w:cs="Arial"/>
                <w:b/>
                <w:sz w:val="20"/>
                <w:szCs w:val="20"/>
              </w:rPr>
              <w:t>Cost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838A4" w:rsidP="008D1AB6">
            <w:pPr>
              <w:spacing w:before="120"/>
              <w:ind w:right="-720"/>
              <w:jc w:val="center"/>
              <w:rPr>
                <w:rFonts w:ascii="Arial" w:hAnsi="Arial" w:cs="Arial"/>
                <w:sz w:val="20"/>
                <w:szCs w:val="20"/>
              </w:rPr>
            </w:pPr>
            <w:r>
              <w:rPr>
                <w:rFonts w:ascii="Arial" w:hAnsi="Arial" w:cs="Arial"/>
                <w:sz w:val="20"/>
                <w:szCs w:val="20"/>
              </w:rPr>
              <w:t>$97</w:t>
            </w:r>
            <w:r w:rsidR="008D1AB6">
              <w:rPr>
                <w:rFonts w:ascii="Arial" w:hAnsi="Arial" w:cs="Arial"/>
                <w:sz w:val="20"/>
                <w:szCs w:val="20"/>
              </w:rPr>
              <w:t>2,129</w:t>
            </w:r>
            <w:r w:rsidR="00642352">
              <w:rPr>
                <w:rFonts w:ascii="Arial" w:hAnsi="Arial" w:cs="Arial"/>
                <w:sz w:val="20"/>
                <w:szCs w:val="20"/>
              </w:rPr>
              <w:t xml:space="preserve"> Note: Project budget was              increased this period</w:t>
            </w:r>
          </w:p>
        </w:tc>
        <w:tc>
          <w:tcPr>
            <w:tcW w:w="3330" w:type="dxa"/>
          </w:tcPr>
          <w:p w:rsidR="00874EF7" w:rsidRPr="00B66A21" w:rsidRDefault="00B86930" w:rsidP="008D1AB6">
            <w:pPr>
              <w:spacing w:before="120"/>
              <w:ind w:right="-720"/>
              <w:jc w:val="center"/>
              <w:rPr>
                <w:rFonts w:ascii="Arial" w:hAnsi="Arial" w:cs="Arial"/>
                <w:sz w:val="20"/>
                <w:szCs w:val="20"/>
              </w:rPr>
            </w:pPr>
            <w:r>
              <w:rPr>
                <w:rFonts w:ascii="Arial" w:hAnsi="Arial" w:cs="Arial"/>
                <w:sz w:val="20"/>
                <w:szCs w:val="20"/>
              </w:rPr>
              <w:t>$152,671</w:t>
            </w:r>
          </w:p>
        </w:tc>
        <w:tc>
          <w:tcPr>
            <w:tcW w:w="3420" w:type="dxa"/>
          </w:tcPr>
          <w:p w:rsidR="00874EF7" w:rsidRDefault="00D838A4" w:rsidP="008D1AB6">
            <w:pPr>
              <w:spacing w:before="120"/>
              <w:ind w:right="-720"/>
              <w:jc w:val="center"/>
              <w:rPr>
                <w:rFonts w:ascii="Arial" w:hAnsi="Arial" w:cs="Arial"/>
                <w:sz w:val="20"/>
                <w:szCs w:val="20"/>
              </w:rPr>
            </w:pPr>
            <w:r>
              <w:rPr>
                <w:rFonts w:ascii="Arial" w:hAnsi="Arial" w:cs="Arial"/>
                <w:sz w:val="20"/>
                <w:szCs w:val="20"/>
              </w:rPr>
              <w:t>18</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000849" w:rsidP="004144E6">
            <w:pPr>
              <w:ind w:right="-720"/>
              <w:rPr>
                <w:rFonts w:ascii="Arial" w:hAnsi="Arial" w:cs="Arial"/>
                <w:b/>
                <w:sz w:val="20"/>
                <w:szCs w:val="20"/>
              </w:rPr>
            </w:pPr>
            <w:r>
              <w:rPr>
                <w:rFonts w:ascii="Arial" w:hAnsi="Arial" w:cs="Arial"/>
                <w:b/>
                <w:sz w:val="20"/>
                <w:szCs w:val="20"/>
              </w:rPr>
              <w:t xml:space="preserve">         Total Project Expenses to Date</w:t>
            </w:r>
          </w:p>
          <w:p w:rsidR="00B66A21" w:rsidRPr="00C13753" w:rsidRDefault="004144E6" w:rsidP="00000849">
            <w:pPr>
              <w:ind w:right="-720"/>
              <w:rPr>
                <w:rFonts w:ascii="Arial" w:hAnsi="Arial" w:cs="Arial"/>
                <w:b/>
                <w:sz w:val="20"/>
                <w:szCs w:val="20"/>
              </w:rPr>
            </w:pPr>
            <w:r>
              <w:rPr>
                <w:rFonts w:ascii="Arial" w:hAnsi="Arial" w:cs="Arial"/>
                <w:b/>
                <w:sz w:val="20"/>
                <w:szCs w:val="20"/>
              </w:rPr>
              <w:t xml:space="preserve">          </w:t>
            </w:r>
            <w:r w:rsidR="00000849">
              <w:rPr>
                <w:rFonts w:ascii="Arial" w:hAnsi="Arial" w:cs="Arial"/>
                <w:b/>
                <w:sz w:val="20"/>
                <w:szCs w:val="20"/>
              </w:rPr>
              <w:t xml:space="preserve">  </w:t>
            </w:r>
            <w:r w:rsidR="00547EE3">
              <w:rPr>
                <w:rFonts w:ascii="Arial" w:hAnsi="Arial" w:cs="Arial"/>
                <w:b/>
                <w:sz w:val="20"/>
                <w:szCs w:val="20"/>
              </w:rPr>
              <w:t xml:space="preserve">and Percentage </w:t>
            </w:r>
            <w:r w:rsidR="00000849">
              <w:rPr>
                <w:rFonts w:ascii="Arial" w:hAnsi="Arial" w:cs="Arial"/>
                <w:b/>
                <w:sz w:val="20"/>
                <w:szCs w:val="20"/>
              </w:rPr>
              <w:t>of Budget</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86930" w:rsidP="008D1AB6">
            <w:pPr>
              <w:spacing w:before="120"/>
              <w:ind w:right="-720"/>
              <w:jc w:val="center"/>
              <w:rPr>
                <w:rFonts w:ascii="Arial" w:hAnsi="Arial" w:cs="Arial"/>
                <w:sz w:val="20"/>
                <w:szCs w:val="20"/>
              </w:rPr>
            </w:pPr>
            <w:r>
              <w:rPr>
                <w:rFonts w:ascii="Arial" w:hAnsi="Arial" w:cs="Arial"/>
                <w:sz w:val="20"/>
                <w:szCs w:val="20"/>
              </w:rPr>
              <w:t>$189,239</w:t>
            </w:r>
            <w:r w:rsidR="00F46C3D">
              <w:rPr>
                <w:rFonts w:ascii="Arial" w:hAnsi="Arial" w:cs="Arial"/>
                <w:sz w:val="20"/>
                <w:szCs w:val="20"/>
              </w:rPr>
              <w:t xml:space="preserve"> (19.5</w:t>
            </w:r>
            <w:r w:rsidR="00014344">
              <w:rPr>
                <w:rFonts w:ascii="Arial" w:hAnsi="Arial" w:cs="Arial"/>
                <w:sz w:val="20"/>
                <w:szCs w:val="20"/>
              </w:rPr>
              <w:t>% of budget)</w:t>
            </w:r>
          </w:p>
        </w:tc>
        <w:tc>
          <w:tcPr>
            <w:tcW w:w="3330" w:type="dxa"/>
          </w:tcPr>
          <w:p w:rsidR="00B66A21" w:rsidRPr="00B66A21" w:rsidRDefault="00D838A4" w:rsidP="00F46C3D">
            <w:pPr>
              <w:spacing w:before="120"/>
              <w:ind w:right="-720"/>
              <w:jc w:val="center"/>
              <w:rPr>
                <w:rFonts w:ascii="Arial" w:hAnsi="Arial" w:cs="Arial"/>
                <w:sz w:val="20"/>
                <w:szCs w:val="20"/>
              </w:rPr>
            </w:pPr>
            <w:r>
              <w:rPr>
                <w:rFonts w:ascii="Arial" w:hAnsi="Arial" w:cs="Arial"/>
                <w:sz w:val="20"/>
                <w:szCs w:val="20"/>
              </w:rPr>
              <w:t>$</w:t>
            </w:r>
            <w:r w:rsidR="00B86930">
              <w:rPr>
                <w:rFonts w:ascii="Arial" w:hAnsi="Arial" w:cs="Arial"/>
                <w:sz w:val="20"/>
                <w:szCs w:val="20"/>
              </w:rPr>
              <w:t>36,568</w:t>
            </w:r>
          </w:p>
        </w:tc>
        <w:tc>
          <w:tcPr>
            <w:tcW w:w="3420" w:type="dxa"/>
          </w:tcPr>
          <w:p w:rsidR="00B66A21" w:rsidRDefault="00D838A4" w:rsidP="00014344">
            <w:pPr>
              <w:spacing w:before="120"/>
              <w:ind w:right="-720"/>
              <w:jc w:val="center"/>
              <w:rPr>
                <w:rFonts w:ascii="Arial" w:hAnsi="Arial" w:cs="Arial"/>
                <w:sz w:val="20"/>
                <w:szCs w:val="20"/>
              </w:rPr>
            </w:pPr>
            <w:r>
              <w:rPr>
                <w:rFonts w:ascii="Arial" w:hAnsi="Arial" w:cs="Arial"/>
                <w:sz w:val="20"/>
                <w:szCs w:val="20"/>
              </w:rPr>
              <w:t>83</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w:t>
            </w:r>
            <w:proofErr w:type="spellStart"/>
            <w:r w:rsidRPr="00E608EB">
              <w:t>Superpave</w:t>
            </w:r>
            <w:proofErr w:type="spellEnd"/>
            <w:r w:rsidRPr="00E608EB">
              <w:t xml:space="preser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w:t>
            </w:r>
            <w:proofErr w:type="spellStart"/>
            <w:r w:rsidRPr="00046643">
              <w:rPr>
                <w:i/>
              </w:rPr>
              <w:t>Superpave</w:t>
            </w:r>
            <w:proofErr w:type="spellEnd"/>
            <w:r w:rsidRPr="00046643">
              <w:rPr>
                <w:i/>
              </w:rPr>
              <w:t xml:space="preser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 xml:space="preserve">Several short-term and long-term objectives of the Southeastern </w:t>
            </w:r>
            <w:proofErr w:type="spellStart"/>
            <w:r>
              <w:t>Superpave</w:t>
            </w:r>
            <w:proofErr w:type="spellEnd"/>
            <w:r>
              <w:t xml:space="preser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 xml:space="preserve">Conduct training in regard to </w:t>
            </w:r>
            <w:proofErr w:type="spellStart"/>
            <w:r>
              <w:t>Superpave</w:t>
            </w:r>
            <w:proofErr w:type="spellEnd"/>
            <w:r>
              <w:t xml:space="preser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54459" w:rsidP="00551D8A">
            <w:pPr>
              <w:ind w:right="-720"/>
              <w:rPr>
                <w:rFonts w:ascii="Arial" w:hAnsi="Arial" w:cs="Arial"/>
                <w:b/>
                <w:sz w:val="20"/>
                <w:szCs w:val="20"/>
              </w:rPr>
            </w:pPr>
            <w:r>
              <w:lastRenderedPageBreak/>
              <w:br w:type="page"/>
            </w: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8A7FB0" w:rsidRPr="000A5509" w:rsidRDefault="008A7FB0" w:rsidP="008A7FB0">
            <w:pPr>
              <w:tabs>
                <w:tab w:val="left" w:pos="3330"/>
                <w:tab w:val="left" w:pos="3960"/>
              </w:tabs>
              <w:jc w:val="both"/>
              <w:rPr>
                <w:rFonts w:cstheme="minorHAnsi"/>
              </w:rPr>
            </w:pPr>
          </w:p>
          <w:p w:rsidR="008A7FB0" w:rsidRPr="00D838A4" w:rsidRDefault="008A7FB0" w:rsidP="008A7FB0">
            <w:pPr>
              <w:tabs>
                <w:tab w:val="left" w:pos="3330"/>
                <w:tab w:val="left" w:pos="3960"/>
              </w:tabs>
              <w:jc w:val="both"/>
              <w:rPr>
                <w:rFonts w:cstheme="minorHAnsi"/>
                <w:b/>
              </w:rPr>
            </w:pPr>
            <w:r w:rsidRPr="00D838A4">
              <w:rPr>
                <w:rFonts w:cstheme="minorHAnsi"/>
                <w:b/>
              </w:rPr>
              <w:t xml:space="preserve">MEPDG CLIMATE DATABASE: </w:t>
            </w:r>
          </w:p>
          <w:p w:rsidR="00D838A4" w:rsidRDefault="005370EC" w:rsidP="00D838A4">
            <w:pPr>
              <w:pStyle w:val="PlainText"/>
            </w:pPr>
            <w:r>
              <w:t xml:space="preserve">Met with </w:t>
            </w:r>
            <w:r w:rsidR="00D838A4">
              <w:t>Project Review Committee</w:t>
            </w:r>
            <w:r>
              <w:t xml:space="preserve"> of sponsoring agency</w:t>
            </w:r>
            <w:r w:rsidR="00D838A4">
              <w:t xml:space="preserve"> to discuss the methods that would be used to develop future climate files.  The DOT has requested ad</w:t>
            </w:r>
            <w:r>
              <w:t>ditional work and</w:t>
            </w:r>
            <w:r w:rsidR="00D838A4">
              <w:t xml:space="preserve"> the estimate for that effort</w:t>
            </w:r>
            <w:r>
              <w:t xml:space="preserve"> is being prepared</w:t>
            </w:r>
            <w:r w:rsidR="00D838A4">
              <w:t>.  The ISU Climate Team completed the historic files and NCAT has begun verifying the files.  The next steps are completing the file verification, developing the future files, and providing an estimate on the requested additional work.</w:t>
            </w:r>
          </w:p>
          <w:p w:rsidR="008A7FB0" w:rsidRPr="000A5509" w:rsidRDefault="008A7FB0"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AGGREGATE FRICTION STUDY: </w:t>
            </w:r>
          </w:p>
          <w:p w:rsidR="00D838A4" w:rsidRDefault="00D838A4" w:rsidP="00D838A4">
            <w:pPr>
              <w:pStyle w:val="PlainText"/>
            </w:pPr>
            <w:r>
              <w:t>NCAT developed blending charts for the aggregate substitutions, recommended blending proportions to the DOT, and received approval to proceed with the recommended friction aggregate substitutions. The NCAT lab has all the aggregates split and has started blending aggregate</w:t>
            </w:r>
            <w:r w:rsidR="005370EC">
              <w:t>s.  The next step is to verify the mix designs and compact</w:t>
            </w:r>
            <w:r>
              <w:t xml:space="preserve"> slabs.</w:t>
            </w:r>
          </w:p>
          <w:p w:rsidR="008A7FB0" w:rsidRPr="000A5509" w:rsidRDefault="008A7FB0"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 xml:space="preserve">HIGH RAP STUDY: </w:t>
            </w:r>
          </w:p>
          <w:p w:rsidR="006005B0" w:rsidRDefault="008A7FB0" w:rsidP="006005B0">
            <w:pPr>
              <w:pStyle w:val="PlainText"/>
            </w:pPr>
            <w:r w:rsidRPr="000A5509">
              <w:rPr>
                <w:rFonts w:cstheme="minorHAnsi"/>
              </w:rPr>
              <w:t xml:space="preserve">Four states have sponsored a study of the use of high RAP proportions in asphalt mixtures. The RAP proportion will be varied so that the RAP binder will replace 10, 25, and 50 percent of the virgin binder. The study will evaluate whether increasing the effective binder content or using a softer grade binder will be most effective at reducing potential for cracking. </w:t>
            </w:r>
            <w:r w:rsidR="006005B0">
              <w:t>We have completed mix designs, and energy ratio testing. There are five more overlay tester samples to complete and APA testing remains to be finished.  Once that is done, a draft report will be prepared.</w:t>
            </w:r>
          </w:p>
          <w:p w:rsidR="008A7FB0" w:rsidRDefault="008A7FB0" w:rsidP="008A7FB0">
            <w:pPr>
              <w:tabs>
                <w:tab w:val="left" w:pos="3330"/>
                <w:tab w:val="left" w:pos="3960"/>
              </w:tabs>
              <w:jc w:val="both"/>
              <w:rPr>
                <w:rFonts w:cstheme="minorHAnsi"/>
              </w:rPr>
            </w:pPr>
          </w:p>
          <w:p w:rsidR="006005B0" w:rsidRPr="005370EC" w:rsidRDefault="006005B0" w:rsidP="006005B0">
            <w:pPr>
              <w:ind w:right="-720"/>
              <w:rPr>
                <w:rFonts w:cstheme="minorHAnsi"/>
              </w:rPr>
            </w:pPr>
            <w:r w:rsidRPr="005370EC">
              <w:rPr>
                <w:rFonts w:cstheme="minorHAnsi"/>
                <w:b/>
              </w:rPr>
              <w:t>DETERMINE APPROPRIATE TEMPERATURE FOR FLOW NUMBER TESTING:</w:t>
            </w:r>
          </w:p>
          <w:p w:rsidR="006005B0" w:rsidRDefault="006005B0" w:rsidP="006005B0">
            <w:pPr>
              <w:ind w:right="-720"/>
              <w:rPr>
                <w:rFonts w:cstheme="minorHAnsi"/>
              </w:rPr>
            </w:pPr>
            <w:r w:rsidRPr="006005B0">
              <w:rPr>
                <w:rFonts w:cstheme="minorHAnsi"/>
              </w:rPr>
              <w:t xml:space="preserve">One agency has asked for a review of </w:t>
            </w:r>
            <w:proofErr w:type="spellStart"/>
            <w:r w:rsidRPr="006005B0">
              <w:rPr>
                <w:rFonts w:cstheme="minorHAnsi"/>
              </w:rPr>
              <w:t>LTPPBind</w:t>
            </w:r>
            <w:proofErr w:type="spellEnd"/>
            <w:r w:rsidRPr="006005B0">
              <w:rPr>
                <w:rFonts w:cstheme="minorHAnsi"/>
              </w:rPr>
              <w:t xml:space="preserve"> data to determine what temperature flow number testing with the </w:t>
            </w:r>
          </w:p>
          <w:p w:rsidR="006005B0" w:rsidRDefault="006005B0" w:rsidP="006005B0">
            <w:pPr>
              <w:ind w:right="-720"/>
              <w:rPr>
                <w:rFonts w:cstheme="minorHAnsi"/>
              </w:rPr>
            </w:pPr>
            <w:r w:rsidRPr="006005B0">
              <w:rPr>
                <w:rFonts w:cstheme="minorHAnsi"/>
              </w:rPr>
              <w:t>AMPT</w:t>
            </w:r>
            <w:r>
              <w:rPr>
                <w:rFonts w:cstheme="minorHAnsi"/>
              </w:rPr>
              <w:t xml:space="preserve"> </w:t>
            </w:r>
            <w:r w:rsidRPr="006005B0">
              <w:rPr>
                <w:rFonts w:cstheme="minorHAnsi"/>
              </w:rPr>
              <w:t xml:space="preserve">should be conducted at. Of particular interest was whether a single temperature was satisfactory for all </w:t>
            </w:r>
          </w:p>
          <w:p w:rsidR="006005B0" w:rsidRDefault="006005B0" w:rsidP="006005B0">
            <w:pPr>
              <w:ind w:right="-720"/>
              <w:rPr>
                <w:rFonts w:cstheme="minorHAnsi"/>
              </w:rPr>
            </w:pPr>
            <w:proofErr w:type="gramStart"/>
            <w:r w:rsidRPr="006005B0">
              <w:rPr>
                <w:rFonts w:cstheme="minorHAnsi"/>
              </w:rPr>
              <w:t>geographical</w:t>
            </w:r>
            <w:proofErr w:type="gramEnd"/>
            <w:r w:rsidRPr="006005B0">
              <w:rPr>
                <w:rFonts w:cstheme="minorHAnsi"/>
              </w:rPr>
              <w:t xml:space="preserve"> areas or if multiple regions needed to be created with a different temperature for each region. The review</w:t>
            </w:r>
          </w:p>
          <w:p w:rsidR="006005B0" w:rsidRPr="006005B0" w:rsidRDefault="006005B0" w:rsidP="006005B0">
            <w:pPr>
              <w:ind w:right="-720"/>
              <w:rPr>
                <w:rFonts w:cstheme="minorHAnsi"/>
              </w:rPr>
            </w:pPr>
            <w:proofErr w:type="gramStart"/>
            <w:r w:rsidRPr="006005B0">
              <w:rPr>
                <w:rFonts w:cstheme="minorHAnsi"/>
              </w:rPr>
              <w:t>has</w:t>
            </w:r>
            <w:proofErr w:type="gramEnd"/>
            <w:r w:rsidRPr="006005B0">
              <w:rPr>
                <w:rFonts w:cstheme="minorHAnsi"/>
              </w:rPr>
              <w:t xml:space="preserve"> been</w:t>
            </w:r>
            <w:r>
              <w:rPr>
                <w:rFonts w:cstheme="minorHAnsi"/>
              </w:rPr>
              <w:t xml:space="preserve"> </w:t>
            </w:r>
            <w:r w:rsidRPr="006005B0">
              <w:rPr>
                <w:rFonts w:cstheme="minorHAnsi"/>
              </w:rPr>
              <w:t>completed and a draft report is being reviewed.</w:t>
            </w:r>
          </w:p>
          <w:p w:rsidR="006005B0" w:rsidRPr="000A5509" w:rsidRDefault="006005B0" w:rsidP="008A7FB0">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Pr="000A5509">
              <w:rPr>
                <w:rFonts w:cstheme="minorHAnsi"/>
              </w:rPr>
              <w:t xml:space="preserve"> annual meetings.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05B0" w:rsidP="00551D8A">
            <w:pPr>
              <w:ind w:right="-720"/>
              <w:rPr>
                <w:rFonts w:ascii="Arial" w:hAnsi="Arial" w:cs="Arial"/>
                <w:sz w:val="20"/>
                <w:szCs w:val="20"/>
              </w:rPr>
            </w:pPr>
            <w:r>
              <w:rPr>
                <w:rFonts w:ascii="Arial" w:hAnsi="Arial" w:cs="Arial"/>
                <w:sz w:val="20"/>
                <w:szCs w:val="20"/>
              </w:rPr>
              <w:t xml:space="preserve"> </w:t>
            </w: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601EBD" w:rsidRPr="00CC1ED0" w:rsidRDefault="00CC1ED0" w:rsidP="00CC1ED0">
            <w:pPr>
              <w:tabs>
                <w:tab w:val="left" w:pos="-480"/>
                <w:tab w:val="left" w:pos="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heme="minorHAnsi"/>
                <w:szCs w:val="24"/>
              </w:rPr>
            </w:pPr>
            <w:r w:rsidRPr="000A5509">
              <w:rPr>
                <w:rFonts w:cstheme="minorHAnsi"/>
                <w:szCs w:val="24"/>
              </w:rPr>
              <w:t xml:space="preserve">Work will be started on </w:t>
            </w:r>
            <w:r>
              <w:rPr>
                <w:rFonts w:cstheme="minorHAnsi"/>
                <w:szCs w:val="24"/>
              </w:rPr>
              <w:t>the</w:t>
            </w:r>
            <w:r w:rsidRPr="000A5509">
              <w:rPr>
                <w:rFonts w:cstheme="minorHAnsi"/>
                <w:szCs w:val="24"/>
              </w:rPr>
              <w:t xml:space="preserve"> friction study for one agency. </w:t>
            </w:r>
            <w:r>
              <w:rPr>
                <w:rFonts w:cstheme="minorHAnsi"/>
                <w:szCs w:val="24"/>
              </w:rPr>
              <w:t>Mix design work and laboratory performance testing will be started for the friction study</w:t>
            </w:r>
            <w:r w:rsidRPr="000A5509">
              <w:rPr>
                <w:rFonts w:cstheme="minorHAnsi"/>
                <w:szCs w:val="24"/>
              </w:rPr>
              <w:t xml:space="preserve">. </w:t>
            </w:r>
            <w:r>
              <w:rPr>
                <w:rFonts w:cstheme="minorHAnsi"/>
                <w:szCs w:val="24"/>
              </w:rPr>
              <w:t xml:space="preserve">The high RAP study should be nearing completion and a draft report prepared. A final report will be prepared on the </w:t>
            </w:r>
            <w:proofErr w:type="spellStart"/>
            <w:r>
              <w:rPr>
                <w:rFonts w:cstheme="minorHAnsi"/>
                <w:szCs w:val="24"/>
              </w:rPr>
              <w:t>LTPPBind</w:t>
            </w:r>
            <w:proofErr w:type="spellEnd"/>
            <w:r>
              <w:rPr>
                <w:rFonts w:cstheme="minorHAnsi"/>
                <w:szCs w:val="24"/>
              </w:rPr>
              <w:t xml:space="preserve"> climate data evaluation for determining the temperature to use for flow number testing.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E54459" w:rsidRDefault="00E54459" w:rsidP="00551D8A">
            <w:pPr>
              <w:ind w:right="-720"/>
              <w:rPr>
                <w:rFonts w:ascii="Arial" w:hAnsi="Arial" w:cs="Arial"/>
                <w:sz w:val="20"/>
                <w:szCs w:val="20"/>
              </w:rPr>
            </w:pPr>
          </w:p>
        </w:tc>
      </w:tr>
      <w:tr w:rsidR="00601EBD" w:rsidTr="00E54459">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2F0C9E" w:rsidP="00551D8A">
            <w:pPr>
              <w:ind w:right="-720"/>
              <w:rPr>
                <w:rFonts w:ascii="Arial" w:hAnsi="Arial" w:cs="Arial"/>
              </w:rPr>
            </w:pPr>
            <w:r>
              <w:rPr>
                <w:rFonts w:ascii="Arial" w:hAnsi="Arial" w:cs="Arial"/>
              </w:rPr>
              <w:t xml:space="preserve">A review of </w:t>
            </w:r>
            <w:proofErr w:type="spellStart"/>
            <w:r>
              <w:rPr>
                <w:rFonts w:ascii="Arial" w:hAnsi="Arial" w:cs="Arial"/>
              </w:rPr>
              <w:t>LTPPBind</w:t>
            </w:r>
            <w:proofErr w:type="spellEnd"/>
            <w:r>
              <w:rPr>
                <w:rFonts w:ascii="Arial" w:hAnsi="Arial" w:cs="Arial"/>
              </w:rPr>
              <w:t xml:space="preserve"> climate data revealed that one weather station in a mountainous area was causing the </w:t>
            </w:r>
          </w:p>
          <w:p w:rsidR="002F0C9E" w:rsidRDefault="002F0C9E" w:rsidP="00551D8A">
            <w:pPr>
              <w:ind w:right="-720"/>
              <w:rPr>
                <w:rFonts w:ascii="Arial" w:hAnsi="Arial" w:cs="Arial"/>
              </w:rPr>
            </w:pPr>
            <w:r>
              <w:rPr>
                <w:rFonts w:ascii="Arial" w:hAnsi="Arial" w:cs="Arial"/>
              </w:rPr>
              <w:t>recommended flow number test temperature to be skewed toward a lower temperature than reasonable for the</w:t>
            </w:r>
          </w:p>
          <w:p w:rsidR="002F0C9E" w:rsidRDefault="002F0C9E" w:rsidP="00551D8A">
            <w:pPr>
              <w:ind w:right="-720"/>
              <w:rPr>
                <w:rFonts w:ascii="Arial" w:hAnsi="Arial" w:cs="Arial"/>
              </w:rPr>
            </w:pPr>
            <w:proofErr w:type="gramStart"/>
            <w:r>
              <w:rPr>
                <w:rFonts w:ascii="Arial" w:hAnsi="Arial" w:cs="Arial"/>
              </w:rPr>
              <w:t>area</w:t>
            </w:r>
            <w:proofErr w:type="gramEnd"/>
            <w:r>
              <w:rPr>
                <w:rFonts w:ascii="Arial" w:hAnsi="Arial" w:cs="Arial"/>
              </w:rPr>
              <w:t xml:space="preserve">. Using the data as typically recommended would result in asphalt mixtures passing the test criteria at </w:t>
            </w:r>
          </w:p>
          <w:p w:rsidR="002F0C9E" w:rsidRPr="000A5509" w:rsidRDefault="002F0C9E" w:rsidP="00551D8A">
            <w:pPr>
              <w:ind w:right="-720"/>
              <w:rPr>
                <w:rFonts w:ascii="Arial" w:hAnsi="Arial" w:cs="Arial"/>
              </w:rPr>
            </w:pPr>
            <w:proofErr w:type="gramStart"/>
            <w:r>
              <w:rPr>
                <w:rFonts w:ascii="Arial" w:hAnsi="Arial" w:cs="Arial"/>
              </w:rPr>
              <w:t>higher</w:t>
            </w:r>
            <w:proofErr w:type="gramEnd"/>
            <w:r>
              <w:rPr>
                <w:rFonts w:ascii="Arial" w:hAnsi="Arial" w:cs="Arial"/>
              </w:rPr>
              <w:t xml:space="preserve"> traffic loadings than</w:t>
            </w:r>
            <w:r w:rsidR="000A479C">
              <w:rPr>
                <w:rFonts w:ascii="Arial" w:hAnsi="Arial" w:cs="Arial"/>
              </w:rPr>
              <w:t xml:space="preserve"> which</w:t>
            </w:r>
            <w:r>
              <w:rPr>
                <w:rFonts w:ascii="Arial" w:hAnsi="Arial" w:cs="Arial"/>
              </w:rPr>
              <w:t xml:space="preserve"> the</w:t>
            </w:r>
            <w:r w:rsidR="000A479C">
              <w:rPr>
                <w:rFonts w:ascii="Arial" w:hAnsi="Arial" w:cs="Arial"/>
              </w:rPr>
              <w:t xml:space="preserve"> mix would be able to perform</w:t>
            </w:r>
            <w:r>
              <w:rPr>
                <w:rFonts w:ascii="Arial" w:hAnsi="Arial" w:cs="Arial"/>
              </w:rPr>
              <w: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0A479C" w:rsidRDefault="000A479C" w:rsidP="00551D8A">
            <w:pPr>
              <w:ind w:right="-720"/>
              <w:rPr>
                <w:rFonts w:ascii="Arial" w:hAnsi="Arial" w:cs="Arial"/>
              </w:rPr>
            </w:pPr>
            <w:r>
              <w:rPr>
                <w:rFonts w:ascii="Arial" w:hAnsi="Arial" w:cs="Arial"/>
              </w:rPr>
              <w:t>Additional work has been requested that would extend beyond the end date of this project. For that reason, a</w:t>
            </w:r>
          </w:p>
          <w:p w:rsidR="00601EBD" w:rsidRPr="000A5509" w:rsidRDefault="000A479C" w:rsidP="00551D8A">
            <w:pPr>
              <w:ind w:right="-720"/>
              <w:rPr>
                <w:rFonts w:ascii="Arial" w:hAnsi="Arial" w:cs="Arial"/>
              </w:rPr>
            </w:pPr>
            <w:proofErr w:type="gramStart"/>
            <w:r>
              <w:rPr>
                <w:rFonts w:ascii="Arial" w:hAnsi="Arial" w:cs="Arial"/>
              </w:rPr>
              <w:t>project</w:t>
            </w:r>
            <w:proofErr w:type="gramEnd"/>
            <w:r>
              <w:rPr>
                <w:rFonts w:ascii="Arial" w:hAnsi="Arial" w:cs="Arial"/>
              </w:rPr>
              <w:t xml:space="preserve"> extension has been requested.</w:t>
            </w:r>
            <w:r w:rsidR="00C3342B" w:rsidRPr="000A5509">
              <w:rPr>
                <w:rFonts w:ascii="Arial" w:hAnsi="Arial" w:cs="Arial"/>
              </w:rPr>
              <w: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one agency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Pr="000A5509"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C3342B" w:rsidRPr="000A5509" w:rsidRDefault="00C3342B" w:rsidP="00551D8A">
            <w:pPr>
              <w:ind w:right="-720"/>
              <w:rPr>
                <w:rFonts w:cstheme="minorHAnsi"/>
              </w:rPr>
            </w:pPr>
          </w:p>
          <w:p w:rsidR="000A5509" w:rsidRDefault="00C3342B" w:rsidP="00551D8A">
            <w:pPr>
              <w:ind w:right="-720"/>
              <w:rPr>
                <w:rFonts w:cstheme="minorHAnsi"/>
              </w:rPr>
            </w:pPr>
            <w:r w:rsidRPr="000A5509">
              <w:rPr>
                <w:rFonts w:cstheme="minorHAnsi"/>
              </w:rPr>
              <w:t xml:space="preserve">The high RAP study will provide information to agencies that will give increased confidence for decision-making in </w:t>
            </w:r>
          </w:p>
          <w:p w:rsidR="00C3342B" w:rsidRPr="000A5509" w:rsidRDefault="000A5509" w:rsidP="00551D8A">
            <w:pPr>
              <w:ind w:right="-720"/>
              <w:rPr>
                <w:rFonts w:cstheme="minorHAnsi"/>
              </w:rPr>
            </w:pPr>
            <w:proofErr w:type="gramStart"/>
            <w:r>
              <w:rPr>
                <w:rFonts w:cstheme="minorHAnsi"/>
              </w:rPr>
              <w:t>regard</w:t>
            </w:r>
            <w:proofErr w:type="gramEnd"/>
            <w:r w:rsidR="00C3342B" w:rsidRPr="000A5509">
              <w:rPr>
                <w:rFonts w:cstheme="minorHAnsi"/>
              </w:rPr>
              <w:t xml:space="preserve"> to whether increased RAP proportions can be used without fear of cracking failure.</w:t>
            </w:r>
          </w:p>
          <w:p w:rsidR="00E35E0F" w:rsidRDefault="00E35E0F" w:rsidP="00551D8A">
            <w:pPr>
              <w:ind w:right="-720"/>
              <w:rPr>
                <w:rFonts w:ascii="Arial" w:hAnsi="Arial" w:cs="Arial"/>
                <w:sz w:val="20"/>
                <w:szCs w:val="20"/>
              </w:rPr>
            </w:pPr>
          </w:p>
          <w:p w:rsidR="00E35E0F" w:rsidRDefault="000A479C" w:rsidP="00551D8A">
            <w:pPr>
              <w:ind w:right="-720"/>
              <w:rPr>
                <w:rFonts w:ascii="Arial" w:hAnsi="Arial" w:cs="Arial"/>
                <w:sz w:val="20"/>
                <w:szCs w:val="20"/>
              </w:rPr>
            </w:pPr>
            <w:r>
              <w:rPr>
                <w:rFonts w:ascii="Arial" w:hAnsi="Arial" w:cs="Arial"/>
                <w:sz w:val="20"/>
                <w:szCs w:val="20"/>
              </w:rPr>
              <w:t xml:space="preserve">After reviewing </w:t>
            </w:r>
            <w:proofErr w:type="spellStart"/>
            <w:r>
              <w:rPr>
                <w:rFonts w:ascii="Arial" w:hAnsi="Arial" w:cs="Arial"/>
                <w:sz w:val="20"/>
                <w:szCs w:val="20"/>
              </w:rPr>
              <w:t>LTPPBind</w:t>
            </w:r>
            <w:proofErr w:type="spellEnd"/>
            <w:r>
              <w:rPr>
                <w:rFonts w:ascii="Arial" w:hAnsi="Arial" w:cs="Arial"/>
                <w:sz w:val="20"/>
                <w:szCs w:val="20"/>
              </w:rPr>
              <w:t xml:space="preserve"> data for one agency, a more accurate temperature for conducting flow number testing will be</w:t>
            </w:r>
          </w:p>
          <w:p w:rsidR="00E35E0F" w:rsidRDefault="000A479C" w:rsidP="00551D8A">
            <w:pPr>
              <w:ind w:right="-720"/>
              <w:rPr>
                <w:rFonts w:ascii="Arial" w:hAnsi="Arial" w:cs="Arial"/>
                <w:sz w:val="20"/>
                <w:szCs w:val="20"/>
              </w:rPr>
            </w:pPr>
            <w:r>
              <w:rPr>
                <w:rFonts w:ascii="Arial" w:hAnsi="Arial" w:cs="Arial"/>
                <w:sz w:val="20"/>
                <w:szCs w:val="20"/>
              </w:rPr>
              <w:t>Recommended for that geographical area.</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E4" w:rsidRDefault="00E00DE4" w:rsidP="00106C83">
      <w:pPr>
        <w:spacing w:after="0" w:line="240" w:lineRule="auto"/>
      </w:pPr>
      <w:r>
        <w:separator/>
      </w:r>
    </w:p>
  </w:endnote>
  <w:endnote w:type="continuationSeparator" w:id="0">
    <w:p w:rsidR="00E00DE4" w:rsidRDefault="00E00D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E4" w:rsidRDefault="00E00DE4" w:rsidP="00106C83">
      <w:pPr>
        <w:spacing w:after="0" w:line="240" w:lineRule="auto"/>
      </w:pPr>
      <w:r>
        <w:separator/>
      </w:r>
    </w:p>
  </w:footnote>
  <w:footnote w:type="continuationSeparator" w:id="0">
    <w:p w:rsidR="00E00DE4" w:rsidRDefault="00E00DE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849"/>
    <w:rsid w:val="00014344"/>
    <w:rsid w:val="00037FBC"/>
    <w:rsid w:val="00040DFF"/>
    <w:rsid w:val="000736BB"/>
    <w:rsid w:val="00094A80"/>
    <w:rsid w:val="000A479C"/>
    <w:rsid w:val="000A5509"/>
    <w:rsid w:val="000B665A"/>
    <w:rsid w:val="00106C83"/>
    <w:rsid w:val="001547D0"/>
    <w:rsid w:val="00161153"/>
    <w:rsid w:val="0021446D"/>
    <w:rsid w:val="00293FD8"/>
    <w:rsid w:val="002A79C8"/>
    <w:rsid w:val="002F0C9E"/>
    <w:rsid w:val="0038705A"/>
    <w:rsid w:val="004144E6"/>
    <w:rsid w:val="004156B2"/>
    <w:rsid w:val="00437734"/>
    <w:rsid w:val="004E14DC"/>
    <w:rsid w:val="00535598"/>
    <w:rsid w:val="005370EC"/>
    <w:rsid w:val="00547EE3"/>
    <w:rsid w:val="00551D8A"/>
    <w:rsid w:val="00581B36"/>
    <w:rsid w:val="00583E8E"/>
    <w:rsid w:val="006005B0"/>
    <w:rsid w:val="00601EBD"/>
    <w:rsid w:val="00642352"/>
    <w:rsid w:val="00682C5E"/>
    <w:rsid w:val="0070592F"/>
    <w:rsid w:val="00743C01"/>
    <w:rsid w:val="00790C4A"/>
    <w:rsid w:val="007E5BD2"/>
    <w:rsid w:val="00821973"/>
    <w:rsid w:val="00872F18"/>
    <w:rsid w:val="00874EF7"/>
    <w:rsid w:val="008A7FB0"/>
    <w:rsid w:val="008D1AB6"/>
    <w:rsid w:val="009A4B10"/>
    <w:rsid w:val="00A43372"/>
    <w:rsid w:val="00A43875"/>
    <w:rsid w:val="00A63677"/>
    <w:rsid w:val="00AE46B0"/>
    <w:rsid w:val="00B2185C"/>
    <w:rsid w:val="00B66A21"/>
    <w:rsid w:val="00B86930"/>
    <w:rsid w:val="00B923DF"/>
    <w:rsid w:val="00C13753"/>
    <w:rsid w:val="00C3342B"/>
    <w:rsid w:val="00C70809"/>
    <w:rsid w:val="00C9575A"/>
    <w:rsid w:val="00CC1ED0"/>
    <w:rsid w:val="00D838A4"/>
    <w:rsid w:val="00E00DE4"/>
    <w:rsid w:val="00E35E0F"/>
    <w:rsid w:val="00E371D1"/>
    <w:rsid w:val="00E53738"/>
    <w:rsid w:val="00E54459"/>
    <w:rsid w:val="00E73363"/>
    <w:rsid w:val="00ED5F67"/>
    <w:rsid w:val="00EF08AE"/>
    <w:rsid w:val="00EF5790"/>
    <w:rsid w:val="00F46C3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5C7D1-88CD-4391-825F-B43107D0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Donald Watson</cp:lastModifiedBy>
  <cp:revision>7</cp:revision>
  <cp:lastPrinted>2011-06-21T20:32:00Z</cp:lastPrinted>
  <dcterms:created xsi:type="dcterms:W3CDTF">2012-04-13T14:34:00Z</dcterms:created>
  <dcterms:modified xsi:type="dcterms:W3CDTF">2012-04-16T20:56:00Z</dcterms:modified>
</cp:coreProperties>
</file>