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1 (January 1 – March 31)</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2 (April 1 – June 30)</w:t>
            </w:r>
          </w:p>
          <w:p w:rsidR="009A4B10" w:rsidRDefault="002B15E4" w:rsidP="0070592F">
            <w:pPr>
              <w:spacing w:before="120"/>
              <w:ind w:right="-720"/>
              <w:rPr>
                <w:rFonts w:ascii="Arial" w:hAnsi="Arial" w:cs="Arial"/>
                <w:sz w:val="20"/>
                <w:szCs w:val="20"/>
              </w:rPr>
            </w:pPr>
            <w:r w:rsidRPr="002B15E4">
              <w:rPr>
                <w:rFonts w:cstheme="minorHAnsi"/>
                <w:b/>
              </w:rPr>
              <w:t>√</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2B15E4" w:rsidP="0070592F">
            <w:pPr>
              <w:spacing w:before="120"/>
              <w:ind w:right="-720"/>
              <w:rPr>
                <w:rFonts w:ascii="Arial" w:hAnsi="Arial" w:cs="Arial"/>
                <w:sz w:val="20"/>
                <w:szCs w:val="20"/>
              </w:rPr>
            </w:pPr>
            <w:r>
              <w:rPr>
                <w:rFonts w:ascii="Agency FB" w:hAnsi="Agency FB" w:cs="Arial"/>
                <w:b/>
                <w:sz w:val="24"/>
                <w:szCs w:val="24"/>
              </w:rPr>
              <w:t xml:space="preserve">  </w:t>
            </w:r>
            <w:r w:rsidR="009A4B10">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proofErr w:type="spellStart"/>
            <w:r w:rsidRPr="009A4B10">
              <w:rPr>
                <w:rFonts w:ascii="Arial" w:hAnsi="Arial" w:cs="Arial"/>
                <w:sz w:val="20"/>
                <w:szCs w:val="20"/>
              </w:rPr>
              <w:t>Superpave</w:t>
            </w:r>
            <w:proofErr w:type="spellEnd"/>
            <w:r w:rsidRPr="009A4B10">
              <w:rPr>
                <w:rFonts w:ascii="Arial" w:hAnsi="Arial" w:cs="Arial"/>
                <w:sz w:val="20"/>
                <w:szCs w:val="20"/>
              </w:rPr>
              <w:t xml:space="preser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8D1AB6" w:rsidP="00551D8A">
      <w:pPr>
        <w:spacing w:after="0"/>
        <w:ind w:left="-720" w:right="-720"/>
        <w:rPr>
          <w:rFonts w:ascii="Arial" w:hAnsi="Arial" w:cs="Arial"/>
          <w:sz w:val="20"/>
          <w:szCs w:val="20"/>
        </w:rPr>
      </w:pPr>
      <w:r>
        <w:rPr>
          <w:rFonts w:ascii="Agency FB" w:hAnsi="Agency FB"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36"/>
          <w:szCs w:val="36"/>
        </w:rPr>
        <w:t xml:space="preserve">  </w:t>
      </w:r>
      <w:r w:rsidR="00743C01" w:rsidRPr="00B66A21">
        <w:rPr>
          <w:rFonts w:ascii="Arial" w:hAnsi="Arial" w:cs="Arial"/>
          <w:sz w:val="36"/>
          <w:szCs w:val="36"/>
        </w:rPr>
        <w:t xml:space="preserve"> </w:t>
      </w:r>
      <w:r>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827C7" w:rsidP="008D1AB6">
            <w:pPr>
              <w:spacing w:before="120"/>
              <w:ind w:right="-720"/>
              <w:jc w:val="center"/>
              <w:rPr>
                <w:rFonts w:ascii="Arial" w:hAnsi="Arial" w:cs="Arial"/>
                <w:sz w:val="20"/>
                <w:szCs w:val="20"/>
              </w:rPr>
            </w:pPr>
            <w:r>
              <w:rPr>
                <w:rFonts w:ascii="Arial" w:hAnsi="Arial" w:cs="Arial"/>
                <w:sz w:val="20"/>
                <w:szCs w:val="20"/>
              </w:rPr>
              <w:t>$567</w:t>
            </w:r>
            <w:r w:rsidR="008D1AB6">
              <w:rPr>
                <w:rFonts w:ascii="Arial" w:hAnsi="Arial" w:cs="Arial"/>
                <w:sz w:val="20"/>
                <w:szCs w:val="20"/>
              </w:rPr>
              <w:t>,129</w:t>
            </w:r>
          </w:p>
        </w:tc>
        <w:tc>
          <w:tcPr>
            <w:tcW w:w="3330" w:type="dxa"/>
          </w:tcPr>
          <w:p w:rsidR="00874EF7" w:rsidRPr="00B66A21" w:rsidRDefault="000827C7" w:rsidP="008D1AB6">
            <w:pPr>
              <w:spacing w:before="120"/>
              <w:ind w:right="-720"/>
              <w:jc w:val="center"/>
              <w:rPr>
                <w:rFonts w:ascii="Arial" w:hAnsi="Arial" w:cs="Arial"/>
                <w:sz w:val="20"/>
                <w:szCs w:val="20"/>
              </w:rPr>
            </w:pPr>
            <w:r>
              <w:rPr>
                <w:rFonts w:ascii="Arial" w:hAnsi="Arial" w:cs="Arial"/>
                <w:sz w:val="20"/>
                <w:szCs w:val="20"/>
              </w:rPr>
              <w:t>$97,703</w:t>
            </w:r>
          </w:p>
        </w:tc>
        <w:tc>
          <w:tcPr>
            <w:tcW w:w="3420" w:type="dxa"/>
          </w:tcPr>
          <w:p w:rsidR="00874EF7" w:rsidRDefault="00F70035" w:rsidP="008D1AB6">
            <w:pPr>
              <w:spacing w:before="120"/>
              <w:ind w:right="-720"/>
              <w:jc w:val="center"/>
              <w:rPr>
                <w:rFonts w:ascii="Arial" w:hAnsi="Arial" w:cs="Arial"/>
                <w:sz w:val="20"/>
                <w:szCs w:val="20"/>
              </w:rPr>
            </w:pPr>
            <w:r>
              <w:rPr>
                <w:rFonts w:ascii="Arial" w:hAnsi="Arial" w:cs="Arial"/>
                <w:sz w:val="20"/>
                <w:szCs w:val="20"/>
              </w:rPr>
              <w:t>17</w:t>
            </w:r>
            <w:bookmarkStart w:id="0" w:name="_GoBack"/>
            <w:bookmarkEnd w:id="0"/>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0827C7" w:rsidP="008D1AB6">
            <w:pPr>
              <w:spacing w:before="120"/>
              <w:ind w:right="-720"/>
              <w:jc w:val="center"/>
              <w:rPr>
                <w:rFonts w:ascii="Arial" w:hAnsi="Arial" w:cs="Arial"/>
                <w:sz w:val="20"/>
                <w:szCs w:val="20"/>
              </w:rPr>
            </w:pPr>
            <w:r>
              <w:rPr>
                <w:rFonts w:ascii="Arial" w:hAnsi="Arial" w:cs="Arial"/>
                <w:sz w:val="20"/>
                <w:szCs w:val="20"/>
              </w:rPr>
              <w:t>$107,457 (18.9</w:t>
            </w:r>
            <w:r w:rsidR="00014344">
              <w:rPr>
                <w:rFonts w:ascii="Arial" w:hAnsi="Arial" w:cs="Arial"/>
                <w:sz w:val="20"/>
                <w:szCs w:val="20"/>
              </w:rPr>
              <w:t>% of budget)</w:t>
            </w:r>
          </w:p>
        </w:tc>
        <w:tc>
          <w:tcPr>
            <w:tcW w:w="3330" w:type="dxa"/>
          </w:tcPr>
          <w:p w:rsidR="00B66A21" w:rsidRPr="00B66A21" w:rsidRDefault="000827C7" w:rsidP="00014344">
            <w:pPr>
              <w:spacing w:before="120"/>
              <w:ind w:right="-720"/>
              <w:jc w:val="center"/>
              <w:rPr>
                <w:rFonts w:ascii="Arial" w:hAnsi="Arial" w:cs="Arial"/>
                <w:sz w:val="20"/>
                <w:szCs w:val="20"/>
              </w:rPr>
            </w:pPr>
            <w:r>
              <w:rPr>
                <w:rFonts w:ascii="Arial" w:hAnsi="Arial" w:cs="Arial"/>
                <w:sz w:val="20"/>
                <w:szCs w:val="20"/>
              </w:rPr>
              <w:t>$9,75</w:t>
            </w:r>
            <w:r w:rsidR="00014344">
              <w:rPr>
                <w:rFonts w:ascii="Arial" w:hAnsi="Arial" w:cs="Arial"/>
                <w:sz w:val="20"/>
                <w:szCs w:val="20"/>
              </w:rPr>
              <w:t>4</w:t>
            </w:r>
          </w:p>
        </w:tc>
        <w:tc>
          <w:tcPr>
            <w:tcW w:w="3420" w:type="dxa"/>
          </w:tcPr>
          <w:p w:rsidR="00B66A21" w:rsidRDefault="000827C7" w:rsidP="00014344">
            <w:pPr>
              <w:spacing w:before="120"/>
              <w:ind w:right="-720"/>
              <w:jc w:val="center"/>
              <w:rPr>
                <w:rFonts w:ascii="Arial" w:hAnsi="Arial" w:cs="Arial"/>
                <w:sz w:val="20"/>
                <w:szCs w:val="20"/>
              </w:rPr>
            </w:pPr>
            <w:r>
              <w:rPr>
                <w:rFonts w:ascii="Arial" w:hAnsi="Arial" w:cs="Arial"/>
                <w:sz w:val="20"/>
                <w:szCs w:val="20"/>
              </w:rPr>
              <w:t>67</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w:t>
            </w:r>
            <w:proofErr w:type="spellStart"/>
            <w:r w:rsidRPr="00E608EB">
              <w:t>Superpave</w:t>
            </w:r>
            <w:proofErr w:type="spellEnd"/>
            <w:r w:rsidRPr="00E608EB">
              <w:t xml:space="preser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w:t>
            </w:r>
            <w:proofErr w:type="spellStart"/>
            <w:r w:rsidRPr="00046643">
              <w:rPr>
                <w:i/>
              </w:rPr>
              <w:t>Superpave</w:t>
            </w:r>
            <w:proofErr w:type="spellEnd"/>
            <w:r w:rsidRPr="00046643">
              <w:rPr>
                <w:i/>
              </w:rPr>
              <w:t xml:space="preser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 xml:space="preserve">Several short-term and long-term objectives of the Southeastern </w:t>
            </w:r>
            <w:proofErr w:type="spellStart"/>
            <w:r>
              <w:t>Superpave</w:t>
            </w:r>
            <w:proofErr w:type="spellEnd"/>
            <w:r>
              <w:t xml:space="preser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 xml:space="preserve">Conduct training in regard to </w:t>
            </w:r>
            <w:proofErr w:type="spellStart"/>
            <w:r>
              <w:t>Superpave</w:t>
            </w:r>
            <w:proofErr w:type="spellEnd"/>
            <w:r>
              <w:t xml:space="preserve"> binders, mix design, and performance testing</w:t>
            </w:r>
            <w:r>
              <w:t>. P</w:t>
            </w:r>
            <w:r>
              <w:t>rovide training on special topics as requested by participating agencies</w:t>
            </w:r>
            <w:r>
              <w:t xml:space="preserve"> at their on-site locations</w:t>
            </w:r>
            <w:r>
              <w:t>.</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C4095" w:rsidRDefault="005C4095" w:rsidP="002B15E4">
            <w:pPr>
              <w:tabs>
                <w:tab w:val="left" w:pos="3330"/>
                <w:tab w:val="left" w:pos="3960"/>
              </w:tabs>
              <w:jc w:val="both"/>
              <w:rPr>
                <w:rFonts w:cstheme="minorHAnsi"/>
                <w:b/>
              </w:rPr>
            </w:pPr>
            <w:r w:rsidRPr="005C4095">
              <w:rPr>
                <w:rFonts w:cstheme="minorHAnsi"/>
              </w:rPr>
              <w:t>INVESTIGATION OF MIXTURE PERFORMANCE:</w:t>
            </w:r>
            <w:r w:rsidRPr="005C4095">
              <w:rPr>
                <w:rFonts w:cstheme="minorHAnsi"/>
                <w:b/>
              </w:rPr>
              <w:t xml:space="preserve"> </w:t>
            </w:r>
          </w:p>
          <w:p w:rsidR="002B15E4" w:rsidRPr="005C4095" w:rsidRDefault="002B15E4" w:rsidP="002B15E4">
            <w:pPr>
              <w:tabs>
                <w:tab w:val="left" w:pos="3330"/>
                <w:tab w:val="left" w:pos="3960"/>
              </w:tabs>
              <w:jc w:val="both"/>
              <w:rPr>
                <w:rFonts w:cstheme="minorHAnsi"/>
              </w:rPr>
            </w:pPr>
            <w:r w:rsidRPr="005C4095">
              <w:rPr>
                <w:rFonts w:cstheme="minorHAnsi"/>
              </w:rPr>
              <w:t xml:space="preserve">Forensic studies are being conducted on </w:t>
            </w:r>
            <w:proofErr w:type="spellStart"/>
            <w:r w:rsidRPr="005C4095">
              <w:rPr>
                <w:rFonts w:cstheme="minorHAnsi"/>
              </w:rPr>
              <w:t>Superpave</w:t>
            </w:r>
            <w:proofErr w:type="spellEnd"/>
            <w:r w:rsidRPr="005C4095">
              <w:rPr>
                <w:rFonts w:cstheme="minorHAnsi"/>
              </w:rPr>
              <w:t xml:space="preserve"> Base and Leveling courses for one agency. Samples have been received of roadway cores, loose plant mix, and virgin aggregate blends, as well as the asphalt binder and anti-strip additive used on the project. A portion of the samples will be tested for AASHTO T 283 using both 4-inch and 6-inch cores to determine whether the sample diameter makes a significant difference. Hamburg tests will also be compared to TSR results from AASHTO T 283 to evaluate effectiveness of the two procedures for determining moisture susceptibility. A comparison will also be made of performance results of dynamic modulus, flow number, and moisture susceptibility on washed and unwashed coarse aggregate. A series of aggregate tests, including petrographic analysis are also being planned.</w:t>
            </w:r>
          </w:p>
          <w:p w:rsidR="002B15E4" w:rsidRPr="005C4095" w:rsidRDefault="002B15E4" w:rsidP="002B15E4">
            <w:pPr>
              <w:tabs>
                <w:tab w:val="left" w:pos="3330"/>
                <w:tab w:val="left" w:pos="3960"/>
              </w:tabs>
              <w:jc w:val="both"/>
              <w:rPr>
                <w:rFonts w:cstheme="minorHAnsi"/>
              </w:rPr>
            </w:pPr>
          </w:p>
          <w:p w:rsidR="005C4095" w:rsidRDefault="005C4095" w:rsidP="002B15E4">
            <w:pPr>
              <w:tabs>
                <w:tab w:val="left" w:pos="3330"/>
                <w:tab w:val="left" w:pos="3960"/>
              </w:tabs>
              <w:jc w:val="both"/>
              <w:rPr>
                <w:rFonts w:cstheme="minorHAnsi"/>
              </w:rPr>
            </w:pPr>
            <w:r w:rsidRPr="005C4095">
              <w:rPr>
                <w:rFonts w:cstheme="minorHAnsi"/>
              </w:rPr>
              <w:t xml:space="preserve">MEPDG CLIMATE DATABASE: </w:t>
            </w:r>
          </w:p>
          <w:p w:rsidR="002B15E4" w:rsidRPr="005C4095" w:rsidRDefault="002B15E4" w:rsidP="002B15E4">
            <w:pPr>
              <w:tabs>
                <w:tab w:val="left" w:pos="3330"/>
                <w:tab w:val="left" w:pos="3960"/>
              </w:tabs>
              <w:jc w:val="both"/>
              <w:rPr>
                <w:rFonts w:cstheme="minorHAnsi"/>
              </w:rPr>
            </w:pPr>
            <w:r w:rsidRPr="005C4095">
              <w:rPr>
                <w:rFonts w:cstheme="minorHAnsi"/>
              </w:rPr>
              <w:t>A proposal has been approved by one agency to</w:t>
            </w:r>
            <w:r w:rsidRPr="005C4095">
              <w:rPr>
                <w:rFonts w:cstheme="minorHAnsi"/>
                <w:b/>
              </w:rPr>
              <w:t xml:space="preserve"> </w:t>
            </w:r>
            <w:r w:rsidRPr="005C4095">
              <w:rPr>
                <w:rFonts w:cstheme="minorHAnsi"/>
              </w:rPr>
              <w:t>develop a climate database for future MEPDG input. Researchers are awaiting ALDOT letter of direction for the additional funding.</w:t>
            </w:r>
          </w:p>
          <w:p w:rsidR="002B15E4" w:rsidRPr="005C4095" w:rsidRDefault="002B15E4" w:rsidP="002B15E4">
            <w:pPr>
              <w:tabs>
                <w:tab w:val="left" w:pos="3330"/>
                <w:tab w:val="left" w:pos="3960"/>
              </w:tabs>
              <w:jc w:val="both"/>
              <w:rPr>
                <w:rFonts w:cstheme="minorHAnsi"/>
              </w:rPr>
            </w:pPr>
          </w:p>
          <w:p w:rsidR="005C4095" w:rsidRDefault="005C4095" w:rsidP="002B15E4">
            <w:pPr>
              <w:tabs>
                <w:tab w:val="left" w:pos="3330"/>
                <w:tab w:val="left" w:pos="3960"/>
              </w:tabs>
              <w:jc w:val="both"/>
              <w:rPr>
                <w:rFonts w:cstheme="minorHAnsi"/>
              </w:rPr>
            </w:pPr>
            <w:r w:rsidRPr="005C4095">
              <w:rPr>
                <w:rFonts w:cstheme="minorHAnsi"/>
              </w:rPr>
              <w:t xml:space="preserve">AGGREGATE FRICTION STUDY: </w:t>
            </w:r>
          </w:p>
          <w:p w:rsidR="002B15E4" w:rsidRPr="005C4095" w:rsidRDefault="002B15E4" w:rsidP="002B15E4">
            <w:pPr>
              <w:tabs>
                <w:tab w:val="left" w:pos="3330"/>
                <w:tab w:val="left" w:pos="3960"/>
              </w:tabs>
              <w:jc w:val="both"/>
              <w:rPr>
                <w:rFonts w:cstheme="minorHAnsi"/>
              </w:rPr>
            </w:pPr>
            <w:r w:rsidRPr="005C4095">
              <w:rPr>
                <w:rFonts w:cstheme="minorHAnsi"/>
              </w:rPr>
              <w:t>A proposal has been approved by one agency for determining friction properties of local aggregates using the NCAT Three-Wheel Polishing Device (TWPD). The agency is currently deciding which aggregate sources to include in the study.</w:t>
            </w:r>
          </w:p>
          <w:p w:rsidR="002B15E4" w:rsidRPr="005C4095" w:rsidRDefault="002B15E4" w:rsidP="002B15E4">
            <w:pPr>
              <w:tabs>
                <w:tab w:val="left" w:pos="3330"/>
                <w:tab w:val="left" w:pos="3960"/>
              </w:tabs>
              <w:jc w:val="both"/>
              <w:rPr>
                <w:rFonts w:cstheme="minorHAnsi"/>
              </w:rPr>
            </w:pPr>
          </w:p>
          <w:p w:rsidR="005C4095" w:rsidRDefault="005C4095" w:rsidP="002B15E4">
            <w:pPr>
              <w:tabs>
                <w:tab w:val="left" w:pos="3330"/>
                <w:tab w:val="left" w:pos="3960"/>
              </w:tabs>
              <w:jc w:val="both"/>
              <w:rPr>
                <w:rFonts w:cstheme="minorHAnsi"/>
              </w:rPr>
            </w:pPr>
            <w:r w:rsidRPr="005C4095">
              <w:rPr>
                <w:rFonts w:cstheme="minorHAnsi"/>
              </w:rPr>
              <w:t>HIGH RAP STUDY</w:t>
            </w:r>
            <w:r w:rsidR="002B15E4" w:rsidRPr="005C4095">
              <w:rPr>
                <w:rFonts w:cstheme="minorHAnsi"/>
                <w:b/>
              </w:rPr>
              <w:t>:</w:t>
            </w:r>
            <w:r w:rsidR="002B15E4" w:rsidRPr="005C4095">
              <w:rPr>
                <w:rFonts w:cstheme="minorHAnsi"/>
              </w:rPr>
              <w:t xml:space="preserve"> </w:t>
            </w:r>
          </w:p>
          <w:p w:rsidR="002B15E4" w:rsidRPr="005C4095" w:rsidRDefault="002B15E4" w:rsidP="002B15E4">
            <w:pPr>
              <w:tabs>
                <w:tab w:val="left" w:pos="3330"/>
                <w:tab w:val="left" w:pos="3960"/>
              </w:tabs>
              <w:jc w:val="both"/>
              <w:rPr>
                <w:rFonts w:cstheme="minorHAnsi"/>
              </w:rPr>
            </w:pPr>
            <w:r w:rsidRPr="005C4095">
              <w:rPr>
                <w:rFonts w:cstheme="minorHAnsi"/>
              </w:rPr>
              <w:t>Four states have sponsored a study of the use of high RAP proportions in asphalt mixtures. This study has just gotten underway. The RAP proportion will be varied so that the RAP binder will replace 10, 25, and 50 percent of the virgin binder. The study will evaluate whether increasing the effective binder content or using a softer grade binder will be most effective at reducing potential for cracking.</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5C4095" w:rsidRDefault="005C4095" w:rsidP="00551D8A">
            <w:pPr>
              <w:ind w:right="-720"/>
              <w:rPr>
                <w:rFonts w:cstheme="minorHAnsi"/>
                <w:szCs w:val="24"/>
              </w:rPr>
            </w:pPr>
            <w:r w:rsidRPr="005C4095">
              <w:rPr>
                <w:rFonts w:cstheme="minorHAnsi"/>
                <w:szCs w:val="24"/>
              </w:rPr>
              <w:t xml:space="preserve">Work will continue on a forensic study, high RAP study, and for MEPDG climate data. </w:t>
            </w:r>
            <w:r w:rsidRPr="005C4095">
              <w:rPr>
                <w:rFonts w:cstheme="minorHAnsi"/>
                <w:szCs w:val="24"/>
              </w:rPr>
              <w:t xml:space="preserve">Travel expenses and registration </w:t>
            </w:r>
          </w:p>
          <w:p w:rsidR="005C4095" w:rsidRDefault="005C4095" w:rsidP="00551D8A">
            <w:pPr>
              <w:ind w:right="-720"/>
              <w:rPr>
                <w:rFonts w:cstheme="minorHAnsi"/>
                <w:szCs w:val="24"/>
              </w:rPr>
            </w:pPr>
            <w:r w:rsidRPr="005C4095">
              <w:rPr>
                <w:rFonts w:cstheme="minorHAnsi"/>
                <w:szCs w:val="24"/>
              </w:rPr>
              <w:t>costs will be reimbursed for agency personnel to attend technical meetings</w:t>
            </w:r>
            <w:r>
              <w:rPr>
                <w:rFonts w:cstheme="minorHAnsi"/>
                <w:szCs w:val="24"/>
              </w:rPr>
              <w:t xml:space="preserve"> and workshops involving technology</w:t>
            </w:r>
          </w:p>
          <w:p w:rsidR="00601EBD" w:rsidRPr="005C4095" w:rsidRDefault="005C4095" w:rsidP="00551D8A">
            <w:pPr>
              <w:ind w:right="-720"/>
              <w:rPr>
                <w:rFonts w:cstheme="minorHAnsi"/>
                <w:sz w:val="20"/>
                <w:szCs w:val="20"/>
              </w:rPr>
            </w:pPr>
            <w:proofErr w:type="gramStart"/>
            <w:r>
              <w:rPr>
                <w:rFonts w:cstheme="minorHAnsi"/>
                <w:szCs w:val="24"/>
              </w:rPr>
              <w:t>transfer</w:t>
            </w:r>
            <w:proofErr w:type="gramEnd"/>
            <w:r>
              <w:rPr>
                <w:rFonts w:cstheme="minorHAnsi"/>
                <w:szCs w:val="24"/>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C4095" w:rsidRDefault="005C4095" w:rsidP="00551D8A">
            <w:pPr>
              <w:ind w:right="-720"/>
              <w:rPr>
                <w:rFonts w:ascii="Arial" w:hAnsi="Arial" w:cs="Arial"/>
                <w:sz w:val="20"/>
                <w:szCs w:val="20"/>
              </w:rPr>
            </w:pPr>
          </w:p>
          <w:p w:rsidR="005C4095" w:rsidRDefault="005C4095" w:rsidP="00551D8A">
            <w:pPr>
              <w:ind w:right="-720"/>
              <w:rPr>
                <w:rFonts w:ascii="Arial" w:hAnsi="Arial" w:cs="Arial"/>
                <w:sz w:val="20"/>
                <w:szCs w:val="20"/>
              </w:rPr>
            </w:pPr>
          </w:p>
          <w:p w:rsidR="005C4095" w:rsidRDefault="005C4095"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0A5509" w:rsidRDefault="00C3342B" w:rsidP="00551D8A">
            <w:pPr>
              <w:ind w:right="-720"/>
              <w:rPr>
                <w:rFonts w:ascii="Arial" w:hAnsi="Arial" w:cs="Arial"/>
              </w:rPr>
            </w:pPr>
            <w:r w:rsidRPr="000A5509">
              <w:rPr>
                <w:rFonts w:ascii="Arial" w:hAnsi="Arial" w:cs="Arial"/>
              </w:rPr>
              <w:t>No significant results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0A5509" w:rsidRDefault="00C3342B" w:rsidP="00551D8A">
            <w:pPr>
              <w:ind w:right="-720"/>
              <w:rPr>
                <w:rFonts w:ascii="Arial" w:hAnsi="Arial" w:cs="Arial"/>
              </w:rPr>
            </w:pPr>
            <w:r w:rsidRPr="000A5509">
              <w:rPr>
                <w:rFonts w:ascii="Arial" w:hAnsi="Arial" w:cs="Arial"/>
              </w:rPr>
              <w:t>No problems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C4095" w:rsidRDefault="005C4095" w:rsidP="00551D8A">
            <w:pPr>
              <w:ind w:right="-720"/>
              <w:rPr>
                <w:rFonts w:ascii="Arial" w:hAnsi="Arial" w:cs="Arial"/>
                <w:b/>
                <w:sz w:val="20"/>
                <w:szCs w:val="20"/>
              </w:rPr>
            </w:pPr>
          </w:p>
          <w:p w:rsidR="005C4095" w:rsidRDefault="005C4095"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5C4095" w:rsidRDefault="005C4095"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0A5509" w:rsidRDefault="00C3342B" w:rsidP="00551D8A">
            <w:pPr>
              <w:ind w:right="-720"/>
              <w:rPr>
                <w:rFonts w:cstheme="minorHAnsi"/>
              </w:rPr>
            </w:pPr>
            <w:r w:rsidRPr="000A5509">
              <w:rPr>
                <w:rFonts w:cstheme="minorHAnsi"/>
              </w:rPr>
              <w:t xml:space="preserve">The high RAP study will provide information to agencies that will give increased confidence for decision-making in </w:t>
            </w:r>
          </w:p>
          <w:p w:rsidR="00C3342B" w:rsidRPr="000A5509" w:rsidRDefault="000A5509" w:rsidP="00551D8A">
            <w:pPr>
              <w:ind w:right="-720"/>
              <w:rPr>
                <w:rFonts w:cstheme="minorHAnsi"/>
              </w:rPr>
            </w:pPr>
            <w:proofErr w:type="gramStart"/>
            <w:r>
              <w:rPr>
                <w:rFonts w:cstheme="minorHAnsi"/>
              </w:rPr>
              <w:t>regard</w:t>
            </w:r>
            <w:proofErr w:type="gramEnd"/>
            <w:r w:rsidR="00C3342B" w:rsidRPr="000A5509">
              <w:rPr>
                <w:rFonts w:cstheme="minorHAnsi"/>
              </w:rPr>
              <w:t xml:space="preserve"> to whether increased RAP proportions can be used without fear of cracking failure.</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5E" w:rsidRDefault="000A445E" w:rsidP="00106C83">
      <w:pPr>
        <w:spacing w:after="0" w:line="240" w:lineRule="auto"/>
      </w:pPr>
      <w:r>
        <w:separator/>
      </w:r>
    </w:p>
  </w:endnote>
  <w:endnote w:type="continuationSeparator" w:id="0">
    <w:p w:rsidR="000A445E" w:rsidRDefault="000A445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5E" w:rsidRDefault="000A445E" w:rsidP="00106C83">
      <w:pPr>
        <w:spacing w:after="0" w:line="240" w:lineRule="auto"/>
      </w:pPr>
      <w:r>
        <w:separator/>
      </w:r>
    </w:p>
  </w:footnote>
  <w:footnote w:type="continuationSeparator" w:id="0">
    <w:p w:rsidR="000A445E" w:rsidRDefault="000A445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37FBC"/>
    <w:rsid w:val="000736BB"/>
    <w:rsid w:val="000827C7"/>
    <w:rsid w:val="000A445E"/>
    <w:rsid w:val="000A5509"/>
    <w:rsid w:val="000B665A"/>
    <w:rsid w:val="00106C83"/>
    <w:rsid w:val="001547D0"/>
    <w:rsid w:val="00161153"/>
    <w:rsid w:val="0021446D"/>
    <w:rsid w:val="00293FD8"/>
    <w:rsid w:val="002A79C8"/>
    <w:rsid w:val="002B15E4"/>
    <w:rsid w:val="002B38A6"/>
    <w:rsid w:val="0038705A"/>
    <w:rsid w:val="004144E6"/>
    <w:rsid w:val="004156B2"/>
    <w:rsid w:val="00437734"/>
    <w:rsid w:val="004E14DC"/>
    <w:rsid w:val="00535598"/>
    <w:rsid w:val="00547EE3"/>
    <w:rsid w:val="00551D8A"/>
    <w:rsid w:val="00581B36"/>
    <w:rsid w:val="00583E8E"/>
    <w:rsid w:val="005C4095"/>
    <w:rsid w:val="00601EBD"/>
    <w:rsid w:val="00682C5E"/>
    <w:rsid w:val="0070592F"/>
    <w:rsid w:val="00743C01"/>
    <w:rsid w:val="00790C4A"/>
    <w:rsid w:val="007E5BD2"/>
    <w:rsid w:val="00872F18"/>
    <w:rsid w:val="00874EF7"/>
    <w:rsid w:val="008A7FB0"/>
    <w:rsid w:val="008D1AB6"/>
    <w:rsid w:val="009A4B10"/>
    <w:rsid w:val="00A43875"/>
    <w:rsid w:val="00A63677"/>
    <w:rsid w:val="00AE46B0"/>
    <w:rsid w:val="00B0297F"/>
    <w:rsid w:val="00B2185C"/>
    <w:rsid w:val="00B66A21"/>
    <w:rsid w:val="00B923DF"/>
    <w:rsid w:val="00C13753"/>
    <w:rsid w:val="00C3342B"/>
    <w:rsid w:val="00C70809"/>
    <w:rsid w:val="00E35E0F"/>
    <w:rsid w:val="00E371D1"/>
    <w:rsid w:val="00E53738"/>
    <w:rsid w:val="00ED5F67"/>
    <w:rsid w:val="00EF08AE"/>
    <w:rsid w:val="00EF5790"/>
    <w:rsid w:val="00F70035"/>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B4A4-C313-4A74-9240-1AB9AA0C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2</cp:revision>
  <cp:lastPrinted>2011-06-21T20:32:00Z</cp:lastPrinted>
  <dcterms:created xsi:type="dcterms:W3CDTF">2012-01-19T22:07:00Z</dcterms:created>
  <dcterms:modified xsi:type="dcterms:W3CDTF">2012-01-19T22:07:00Z</dcterms:modified>
</cp:coreProperties>
</file>