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DA2970" w:rsidRPr="00DA2970">
        <w:rPr>
          <w:rFonts w:ascii="Arial" w:hAnsi="Arial" w:cs="Arial"/>
          <w:sz w:val="24"/>
          <w:szCs w:val="24"/>
          <w:u w:val="single"/>
        </w:rPr>
        <w:t>October 31, 2011</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7F2CD1"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03476C">
            <w:pPr>
              <w:ind w:right="-720"/>
              <w:rPr>
                <w:rFonts w:ascii="Arial" w:hAnsi="Arial" w:cs="Arial"/>
                <w:sz w:val="20"/>
                <w:szCs w:val="20"/>
              </w:rPr>
            </w:pPr>
            <w:r>
              <w:rPr>
                <w:rFonts w:ascii="Arial" w:hAnsi="Arial" w:cs="Arial"/>
                <w:sz w:val="20"/>
                <w:szCs w:val="20"/>
              </w:rPr>
              <w:t>9/8/08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03476C">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03476C">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A2970" w:rsidP="00551D8A">
            <w:pPr>
              <w:ind w:right="-720"/>
              <w:rPr>
                <w:rFonts w:ascii="Arial" w:hAnsi="Arial" w:cs="Arial"/>
                <w:sz w:val="20"/>
                <w:szCs w:val="20"/>
              </w:rPr>
            </w:pPr>
            <w:r>
              <w:rPr>
                <w:rFonts w:ascii="Arial" w:hAnsi="Arial" w:cs="Arial"/>
                <w:sz w:val="20"/>
                <w:szCs w:val="20"/>
              </w:rPr>
              <w:t>$1,670,000.00</w:t>
            </w:r>
          </w:p>
        </w:tc>
        <w:tc>
          <w:tcPr>
            <w:tcW w:w="3330" w:type="dxa"/>
          </w:tcPr>
          <w:p w:rsidR="00874EF7" w:rsidRPr="00B66A21" w:rsidRDefault="00DA2970" w:rsidP="00216E70">
            <w:pPr>
              <w:ind w:right="-720"/>
              <w:rPr>
                <w:rFonts w:ascii="Arial" w:hAnsi="Arial" w:cs="Arial"/>
                <w:sz w:val="20"/>
                <w:szCs w:val="20"/>
              </w:rPr>
            </w:pPr>
            <w:r>
              <w:rPr>
                <w:rFonts w:ascii="Arial" w:hAnsi="Arial" w:cs="Arial"/>
                <w:sz w:val="20"/>
                <w:szCs w:val="20"/>
              </w:rPr>
              <w:t>$1,03</w:t>
            </w:r>
            <w:r w:rsidR="00216E70">
              <w:rPr>
                <w:rFonts w:ascii="Arial" w:hAnsi="Arial" w:cs="Arial"/>
                <w:sz w:val="20"/>
                <w:szCs w:val="20"/>
              </w:rPr>
              <w:t>6</w:t>
            </w:r>
            <w:r>
              <w:rPr>
                <w:rFonts w:ascii="Arial" w:hAnsi="Arial" w:cs="Arial"/>
                <w:sz w:val="20"/>
                <w:szCs w:val="20"/>
              </w:rPr>
              <w:t>,</w:t>
            </w:r>
            <w:r w:rsidR="00216E70">
              <w:rPr>
                <w:rFonts w:ascii="Arial" w:hAnsi="Arial" w:cs="Arial"/>
                <w:sz w:val="20"/>
                <w:szCs w:val="20"/>
              </w:rPr>
              <w:t>772</w:t>
            </w:r>
            <w:r>
              <w:rPr>
                <w:rFonts w:ascii="Arial" w:hAnsi="Arial" w:cs="Arial"/>
                <w:sz w:val="20"/>
                <w:szCs w:val="20"/>
              </w:rPr>
              <w:t>.</w:t>
            </w:r>
            <w:r w:rsidR="00216E70">
              <w:rPr>
                <w:rFonts w:ascii="Arial" w:hAnsi="Arial" w:cs="Arial"/>
                <w:sz w:val="20"/>
                <w:szCs w:val="20"/>
              </w:rPr>
              <w:t>82</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216E70" w:rsidP="00874EF7">
            <w:pPr>
              <w:ind w:right="-720"/>
              <w:rPr>
                <w:rFonts w:ascii="Arial" w:hAnsi="Arial" w:cs="Arial"/>
                <w:sz w:val="20"/>
                <w:szCs w:val="20"/>
              </w:rPr>
            </w:pPr>
            <w:r>
              <w:rPr>
                <w:rFonts w:ascii="Arial" w:hAnsi="Arial" w:cs="Arial"/>
                <w:sz w:val="20"/>
                <w:szCs w:val="20"/>
              </w:rPr>
              <w:t>$47,085.65</w:t>
            </w:r>
          </w:p>
        </w:tc>
        <w:tc>
          <w:tcPr>
            <w:tcW w:w="3420" w:type="dxa"/>
          </w:tcPr>
          <w:p w:rsidR="00B66A21" w:rsidRPr="00B66A21" w:rsidRDefault="00B66A21" w:rsidP="00874EF7">
            <w:pPr>
              <w:ind w:right="-720"/>
              <w:rPr>
                <w:rFonts w:ascii="Arial" w:hAnsi="Arial" w:cs="Arial"/>
                <w:sz w:val="20"/>
                <w:szCs w:val="20"/>
              </w:rPr>
            </w:pPr>
            <w:bookmarkStart w:id="0" w:name="_GoBack"/>
          </w:p>
          <w:bookmarkEnd w:id="0"/>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F2CD1" w:rsidRDefault="007F2CD1" w:rsidP="007F2CD1">
            <w:pPr>
              <w:rPr>
                <w:rFonts w:ascii="Arial" w:hAnsi="Arial" w:cs="Arial"/>
              </w:rPr>
            </w:pPr>
            <w:r>
              <w:rPr>
                <w:rFonts w:ascii="Arial" w:hAnsi="Arial" w:cs="Arial"/>
              </w:rPr>
              <w:t xml:space="preserve">All work on </w:t>
            </w:r>
            <w:r w:rsidRPr="00115FE0">
              <w:rPr>
                <w:rFonts w:ascii="Arial" w:hAnsi="Arial" w:cs="Arial"/>
              </w:rPr>
              <w:t>fiscal year 2011 tasks</w:t>
            </w:r>
            <w:r>
              <w:rPr>
                <w:rFonts w:ascii="Arial" w:hAnsi="Arial" w:cs="Arial"/>
              </w:rPr>
              <w:t xml:space="preserve"> was completed and final reports were prepared.  </w:t>
            </w:r>
            <w:r w:rsidRPr="00594628">
              <w:rPr>
                <w:rFonts w:ascii="Arial" w:hAnsi="Arial" w:cs="Arial"/>
              </w:rPr>
              <w:t>TTI release</w:t>
            </w:r>
            <w:r>
              <w:rPr>
                <w:rFonts w:ascii="Arial" w:hAnsi="Arial" w:cs="Arial"/>
              </w:rPr>
              <w:t>d</w:t>
            </w:r>
            <w:r w:rsidRPr="00594628">
              <w:rPr>
                <w:rFonts w:ascii="Arial" w:hAnsi="Arial" w:cs="Arial"/>
              </w:rPr>
              <w:t xml:space="preserve"> a new Urban Mobility Report on Tuesday, September 27</w:t>
            </w:r>
            <w:r w:rsidRPr="00594628">
              <w:rPr>
                <w:rFonts w:ascii="Arial" w:hAnsi="Arial" w:cs="Arial"/>
                <w:vertAlign w:val="superscript"/>
              </w:rPr>
              <w:t>th</w:t>
            </w:r>
            <w:r>
              <w:rPr>
                <w:rFonts w:ascii="Arial" w:hAnsi="Arial" w:cs="Arial"/>
              </w:rPr>
              <w:t>, which utilizes data from this pooled fund project</w:t>
            </w:r>
            <w:r w:rsidRPr="00594628">
              <w:rPr>
                <w:rFonts w:ascii="Arial" w:hAnsi="Arial" w:cs="Arial"/>
              </w:rPr>
              <w:t>.  Th</w:t>
            </w:r>
            <w:r>
              <w:rPr>
                <w:rFonts w:ascii="Arial" w:hAnsi="Arial" w:cs="Arial"/>
              </w:rPr>
              <w:t xml:space="preserve">e </w:t>
            </w:r>
            <w:r w:rsidRPr="00594628">
              <w:rPr>
                <w:rFonts w:ascii="Arial" w:hAnsi="Arial" w:cs="Arial"/>
              </w:rPr>
              <w:t xml:space="preserve">report evaluates mobility levels and travel conditions on the freeway and principal arterial street network in 101 urbanized areas from 1982 to 2010. </w:t>
            </w:r>
            <w:r>
              <w:rPr>
                <w:rFonts w:ascii="Arial" w:hAnsi="Arial" w:cs="Arial"/>
              </w:rPr>
              <w:t xml:space="preserve">  The 2011 contract closed August 31, 2011.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7F2CD1" w:rsidRDefault="007F2CD1" w:rsidP="00551D8A">
            <w:pPr>
              <w:ind w:right="-720"/>
              <w:rPr>
                <w:rFonts w:ascii="Arial" w:hAnsi="Arial" w:cs="Arial"/>
                <w:b/>
              </w:rPr>
            </w:pPr>
            <w:r>
              <w:rPr>
                <w:rFonts w:ascii="Arial" w:hAnsi="Arial" w:cs="Arial"/>
              </w:rPr>
              <w:t>The 2012 contract was executed September 1, 2011, and includes the following tasks</w:t>
            </w:r>
            <w:r w:rsidRPr="00594628">
              <w:rPr>
                <w:rFonts w:ascii="Arial" w:hAnsi="Arial" w:cs="Arial"/>
                <w:b/>
              </w:rPr>
              <w:t xml:space="preserve">: Evaluate New and </w:t>
            </w:r>
          </w:p>
          <w:p w:rsidR="007F2CD1" w:rsidRDefault="007F2CD1" w:rsidP="00551D8A">
            <w:pPr>
              <w:ind w:right="-720"/>
              <w:rPr>
                <w:rFonts w:ascii="Arial" w:hAnsi="Arial" w:cs="Arial"/>
                <w:b/>
              </w:rPr>
            </w:pPr>
            <w:r w:rsidRPr="00594628">
              <w:rPr>
                <w:rFonts w:ascii="Arial" w:hAnsi="Arial" w:cs="Arial"/>
                <w:b/>
              </w:rPr>
              <w:t xml:space="preserve">Emerging Sources of Data for Performance Measures, Develop Methodology for Estimating </w:t>
            </w:r>
          </w:p>
          <w:p w:rsidR="007F2CD1" w:rsidRDefault="007F2CD1" w:rsidP="00551D8A">
            <w:pPr>
              <w:ind w:right="-720"/>
              <w:rPr>
                <w:rFonts w:ascii="Arial" w:hAnsi="Arial" w:cs="Arial"/>
              </w:rPr>
            </w:pPr>
            <w:r w:rsidRPr="00594628">
              <w:rPr>
                <w:rFonts w:ascii="Arial" w:hAnsi="Arial" w:cs="Arial"/>
                <w:b/>
              </w:rPr>
              <w:t xml:space="preserve">Greenhouse Gas (GHG) Benefits for Roadway </w:t>
            </w:r>
            <w:proofErr w:type="gramStart"/>
            <w:r w:rsidRPr="00594628">
              <w:rPr>
                <w:rFonts w:ascii="Arial" w:hAnsi="Arial" w:cs="Arial"/>
                <w:b/>
              </w:rPr>
              <w:t>Improvements,</w:t>
            </w:r>
            <w:proofErr w:type="gramEnd"/>
            <w:r w:rsidRPr="00594628">
              <w:rPr>
                <w:rFonts w:ascii="Arial" w:hAnsi="Arial" w:cs="Arial"/>
                <w:b/>
              </w:rPr>
              <w:t xml:space="preserve"> Develop Congestion Calculations Using Private Sector Speed Data, and Develop and Enhance Mobility Performance Measures.</w:t>
            </w:r>
            <w:r>
              <w:rPr>
                <w:rFonts w:ascii="Arial" w:hAnsi="Arial" w:cs="Arial"/>
              </w:rPr>
              <w:t xml:space="preserve">  There are also </w:t>
            </w:r>
          </w:p>
          <w:p w:rsidR="00601EBD" w:rsidRDefault="007F2CD1" w:rsidP="00551D8A">
            <w:pPr>
              <w:ind w:right="-720"/>
              <w:rPr>
                <w:rFonts w:ascii="Arial" w:hAnsi="Arial" w:cs="Arial"/>
              </w:rPr>
            </w:pPr>
            <w:proofErr w:type="gramStart"/>
            <w:r>
              <w:rPr>
                <w:rFonts w:ascii="Arial" w:hAnsi="Arial" w:cs="Arial"/>
              </w:rPr>
              <w:t>two</w:t>
            </w:r>
            <w:proofErr w:type="gramEnd"/>
            <w:r>
              <w:rPr>
                <w:rFonts w:ascii="Arial" w:hAnsi="Arial" w:cs="Arial"/>
              </w:rPr>
              <w:t xml:space="preserve"> support tasks.  One is for support to sponsor agencies and the other is to coordinate the annual meeting.</w:t>
            </w:r>
          </w:p>
          <w:p w:rsidR="007F2CD1" w:rsidRDefault="007F2CD1" w:rsidP="00551D8A">
            <w:pPr>
              <w:ind w:right="-720"/>
              <w:rPr>
                <w:rFonts w:ascii="Arial" w:hAnsi="Arial" w:cs="Arial"/>
                <w:sz w:val="20"/>
                <w:szCs w:val="20"/>
              </w:rPr>
            </w:pPr>
            <w:r>
              <w:rPr>
                <w:rFonts w:ascii="Arial" w:hAnsi="Arial" w:cs="Arial"/>
              </w:rPr>
              <w:t>All of these tasks will be activated in the next quarter.</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7F2CD1" w:rsidRDefault="007F2CD1" w:rsidP="00551D8A">
            <w:pPr>
              <w:ind w:right="-720"/>
              <w:rPr>
                <w:rFonts w:ascii="Arial" w:hAnsi="Arial" w:cs="Arial"/>
              </w:rPr>
            </w:pPr>
            <w:r w:rsidRPr="00594628">
              <w:rPr>
                <w:rFonts w:ascii="Arial" w:hAnsi="Arial" w:cs="Arial"/>
              </w:rPr>
              <w:t>TTI release</w:t>
            </w:r>
            <w:r>
              <w:rPr>
                <w:rFonts w:ascii="Arial" w:hAnsi="Arial" w:cs="Arial"/>
              </w:rPr>
              <w:t>d</w:t>
            </w:r>
            <w:r w:rsidRPr="00594628">
              <w:rPr>
                <w:rFonts w:ascii="Arial" w:hAnsi="Arial" w:cs="Arial"/>
              </w:rPr>
              <w:t xml:space="preserve"> a new Urban Mobility Report on Tuesday, September 27</w:t>
            </w:r>
            <w:r w:rsidRPr="00594628">
              <w:rPr>
                <w:rFonts w:ascii="Arial" w:hAnsi="Arial" w:cs="Arial"/>
                <w:vertAlign w:val="superscript"/>
              </w:rPr>
              <w:t>th</w:t>
            </w:r>
            <w:r>
              <w:rPr>
                <w:rFonts w:ascii="Arial" w:hAnsi="Arial" w:cs="Arial"/>
              </w:rPr>
              <w:t xml:space="preserve">, which utilizes data from this pooled </w:t>
            </w:r>
          </w:p>
          <w:p w:rsidR="00601EBD" w:rsidRDefault="007F2CD1" w:rsidP="00551D8A">
            <w:pPr>
              <w:ind w:right="-720"/>
              <w:rPr>
                <w:rFonts w:ascii="Arial" w:hAnsi="Arial" w:cs="Arial"/>
                <w:b/>
                <w:sz w:val="20"/>
                <w:szCs w:val="20"/>
              </w:rPr>
            </w:pPr>
            <w:proofErr w:type="gramStart"/>
            <w:r>
              <w:rPr>
                <w:rFonts w:ascii="Arial" w:hAnsi="Arial" w:cs="Arial"/>
              </w:rPr>
              <w:t>fund</w:t>
            </w:r>
            <w:proofErr w:type="gramEnd"/>
            <w:r>
              <w:rPr>
                <w:rFonts w:ascii="Arial" w:hAnsi="Arial" w:cs="Arial"/>
              </w:rPr>
              <w:t xml:space="preserve"> project</w:t>
            </w:r>
            <w:r w:rsidRPr="00594628">
              <w:rPr>
                <w:rFonts w:ascii="Arial" w:hAnsi="Arial" w:cs="Arial"/>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7F2CD1"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7F2CD1" w:rsidP="00551D8A">
            <w:pPr>
              <w:ind w:right="-720"/>
              <w:rPr>
                <w:rFonts w:ascii="Arial" w:hAnsi="Arial" w:cs="Arial"/>
                <w:sz w:val="20"/>
                <w:szCs w:val="20"/>
              </w:rPr>
            </w:pPr>
            <w:r>
              <w:rPr>
                <w:rFonts w:ascii="Arial" w:hAnsi="Arial" w:cs="Arial"/>
                <w:sz w:val="20"/>
                <w:szCs w:val="20"/>
              </w:rPr>
              <w:t>Each participating state uses the data in a variety of reports and analyses.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1446D"/>
    <w:rsid w:val="00216E70"/>
    <w:rsid w:val="00280254"/>
    <w:rsid w:val="00293FD8"/>
    <w:rsid w:val="002A79C8"/>
    <w:rsid w:val="0038705A"/>
    <w:rsid w:val="004144E6"/>
    <w:rsid w:val="004156B2"/>
    <w:rsid w:val="00425091"/>
    <w:rsid w:val="00437734"/>
    <w:rsid w:val="004E14DC"/>
    <w:rsid w:val="00535598"/>
    <w:rsid w:val="00547EE3"/>
    <w:rsid w:val="00551D8A"/>
    <w:rsid w:val="00581B36"/>
    <w:rsid w:val="00583E8E"/>
    <w:rsid w:val="00601EBD"/>
    <w:rsid w:val="00682C5E"/>
    <w:rsid w:val="00743C01"/>
    <w:rsid w:val="00790C4A"/>
    <w:rsid w:val="007A4585"/>
    <w:rsid w:val="007E5BD2"/>
    <w:rsid w:val="007F2CD1"/>
    <w:rsid w:val="00872F18"/>
    <w:rsid w:val="00874EF7"/>
    <w:rsid w:val="00905DAC"/>
    <w:rsid w:val="0097163C"/>
    <w:rsid w:val="00A43875"/>
    <w:rsid w:val="00A63677"/>
    <w:rsid w:val="00AE46B0"/>
    <w:rsid w:val="00B2185C"/>
    <w:rsid w:val="00B358DC"/>
    <w:rsid w:val="00B66A21"/>
    <w:rsid w:val="00C13753"/>
    <w:rsid w:val="00D42A15"/>
    <w:rsid w:val="00DA2970"/>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0868-AD37-437E-8D1F-54AD4C88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3</cp:revision>
  <cp:lastPrinted>2012-01-11T19:49:00Z</cp:lastPrinted>
  <dcterms:created xsi:type="dcterms:W3CDTF">2012-01-11T19:56:00Z</dcterms:created>
  <dcterms:modified xsi:type="dcterms:W3CDTF">2012-01-11T20:03:00Z</dcterms:modified>
</cp:coreProperties>
</file>