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551D8A">
            <w:pPr>
              <w:ind w:right="-720"/>
              <w:rPr>
                <w:rFonts w:ascii="Arial" w:hAnsi="Arial" w:cs="Arial"/>
                <w:i/>
                <w:sz w:val="20"/>
                <w:szCs w:val="20"/>
              </w:rPr>
            </w:pPr>
            <w:r>
              <w:rPr>
                <w:rFonts w:ascii="Arial" w:hAnsi="Arial" w:cs="Arial"/>
                <w:i/>
                <w:sz w:val="20"/>
                <w:szCs w:val="20"/>
              </w:rPr>
              <w:t>TPF-5(100)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0D619A">
              <w:rPr>
                <w:rFonts w:ascii="Arial" w:hAnsi="Arial" w:cs="Arial"/>
                <w:sz w:val="36"/>
                <w:szCs w:val="36"/>
              </w:rPr>
              <w:t xml:space="preserve"> </w:t>
            </w:r>
            <w:r>
              <w:rPr>
                <w:rFonts w:ascii="Arial" w:hAnsi="Arial" w:cs="Arial"/>
                <w:sz w:val="20"/>
                <w:szCs w:val="20"/>
              </w:rPr>
              <w:t>Quarter 1 (January 1 – March 31)</w:t>
            </w:r>
          </w:p>
          <w:p w:rsidR="00551D8A" w:rsidRDefault="000D619A" w:rsidP="00037FBC">
            <w:pPr>
              <w:ind w:right="-720"/>
              <w:rPr>
                <w:rFonts w:ascii="Arial" w:hAnsi="Arial" w:cs="Arial"/>
                <w:sz w:val="20"/>
                <w:szCs w:val="20"/>
              </w:rPr>
            </w:pPr>
            <w:r>
              <w:rPr>
                <w:rFonts w:ascii="Arial" w:hAnsi="Arial" w:cs="Arial"/>
                <w:sz w:val="20"/>
                <w:szCs w:val="20"/>
              </w:rPr>
              <w:t xml:space="preserve">      </w:t>
            </w:r>
            <w:r w:rsidR="00551D8A" w:rsidRPr="00901A8D">
              <w:rPr>
                <w:rFonts w:ascii="Arial" w:hAnsi="Arial" w:cs="Arial"/>
                <w:sz w:val="20"/>
                <w:szCs w:val="20"/>
              </w:rPr>
              <w:t>Quarter 2 (April 1 – June 30)</w:t>
            </w:r>
          </w:p>
          <w:p w:rsidR="00551D8A" w:rsidRDefault="000D619A"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0D619A">
              <w:rPr>
                <w:rFonts w:ascii="Arial" w:hAnsi="Arial" w:cs="Arial"/>
                <w:sz w:val="36"/>
                <w:szCs w:val="36"/>
              </w:rPr>
              <w:t xml:space="preserve"> </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901A8D" w:rsidP="00551D8A">
            <w:pPr>
              <w:ind w:right="-720"/>
              <w:rPr>
                <w:rFonts w:ascii="Arial" w:hAnsi="Arial" w:cs="Arial"/>
                <w:sz w:val="20"/>
                <w:szCs w:val="20"/>
              </w:rPr>
            </w:pPr>
            <w:r w:rsidRPr="00901A8D">
              <w:rPr>
                <w:rFonts w:ascii="Arial" w:hAnsi="Arial" w:cs="Arial"/>
                <w:sz w:val="20"/>
                <w:szCs w:val="20"/>
              </w:rPr>
              <w:t>Deicer Scaling Resistance of Concrete Mixtures Containing Slag Cement</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901A8D" w:rsidP="00551D8A">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901A8D" w:rsidP="00901A8D">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C44C92" w:rsidRDefault="00C44C92" w:rsidP="00551D8A">
            <w:pPr>
              <w:ind w:right="-720"/>
              <w:rPr>
                <w:rFonts w:ascii="Arial" w:hAnsi="Arial" w:cs="Arial"/>
                <w:sz w:val="20"/>
                <w:szCs w:val="20"/>
              </w:rPr>
            </w:pPr>
            <w:r w:rsidRPr="00C44C92">
              <w:rPr>
                <w:rFonts w:ascii="Arial" w:hAnsi="Arial" w:cs="Arial"/>
                <w:sz w:val="20"/>
                <w:szCs w:val="20"/>
              </w:rPr>
              <w:t>RT 0000</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44C92" w:rsidRPr="00C44C92" w:rsidRDefault="00C44C92" w:rsidP="00551D8A">
            <w:pPr>
              <w:ind w:right="-720"/>
              <w:rPr>
                <w:rFonts w:ascii="Arial" w:hAnsi="Arial" w:cs="Arial"/>
                <w:sz w:val="20"/>
                <w:szCs w:val="20"/>
              </w:rPr>
            </w:pPr>
            <w:r w:rsidRPr="00C44C92">
              <w:rPr>
                <w:rFonts w:ascii="Arial" w:hAnsi="Arial" w:cs="Arial"/>
                <w:sz w:val="20"/>
                <w:szCs w:val="20"/>
              </w:rPr>
              <w:t>Addendum 374</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901A8D" w:rsidP="00551D8A">
            <w:pPr>
              <w:ind w:right="-720"/>
              <w:rPr>
                <w:rFonts w:ascii="Arial" w:hAnsi="Arial" w:cs="Arial"/>
                <w:sz w:val="20"/>
                <w:szCs w:val="20"/>
              </w:rPr>
            </w:pPr>
            <w:r>
              <w:rPr>
                <w:rFonts w:ascii="Arial" w:hAnsi="Arial" w:cs="Arial"/>
                <w:sz w:val="20"/>
                <w:szCs w:val="20"/>
              </w:rPr>
              <w:t>4/15/10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C44C92" w:rsidRDefault="00901A8D" w:rsidP="00551D8A">
            <w:pPr>
              <w:ind w:right="-720"/>
              <w:rPr>
                <w:rFonts w:ascii="Arial" w:hAnsi="Arial" w:cs="Arial"/>
                <w:sz w:val="20"/>
                <w:szCs w:val="20"/>
              </w:rPr>
            </w:pPr>
            <w:r w:rsidRPr="00C44C92">
              <w:rPr>
                <w:rFonts w:ascii="Arial" w:hAnsi="Arial" w:cs="Arial"/>
                <w:sz w:val="20"/>
                <w:szCs w:val="20"/>
              </w:rPr>
              <w:t>10/14/11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3A7C1E" w:rsidRPr="00C13753" w:rsidRDefault="00F54097" w:rsidP="00551D8A">
            <w:pPr>
              <w:ind w:right="-720"/>
              <w:rPr>
                <w:rFonts w:ascii="Arial" w:hAnsi="Arial" w:cs="Arial"/>
                <w:b/>
                <w:sz w:val="20"/>
                <w:szCs w:val="20"/>
              </w:rPr>
            </w:pPr>
            <w:r>
              <w:rPr>
                <w:rFonts w:ascii="Arial" w:hAnsi="Arial" w:cs="Arial"/>
                <w:b/>
                <w:sz w:val="20"/>
                <w:szCs w:val="20"/>
              </w:rPr>
              <w:t xml:space="preserve">7/25/12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F5409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proofErr w:type="gramStart"/>
      <w:r w:rsidR="00F54097" w:rsidRPr="00B66A21">
        <w:rPr>
          <w:rFonts w:ascii="Arial" w:hAnsi="Arial" w:cs="Arial"/>
          <w:sz w:val="36"/>
          <w:szCs w:val="36"/>
        </w:rPr>
        <w:t xml:space="preserve">□ </w:t>
      </w:r>
      <w:r w:rsidRPr="00B66A21">
        <w:rPr>
          <w:rFonts w:ascii="Arial" w:hAnsi="Arial" w:cs="Arial"/>
          <w:sz w:val="20"/>
          <w:szCs w:val="20"/>
        </w:rPr>
        <w:t xml:space="preserve"> 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0D619A" w:rsidP="00551D8A">
            <w:pPr>
              <w:ind w:right="-720"/>
              <w:rPr>
                <w:rFonts w:ascii="Arial" w:hAnsi="Arial" w:cs="Arial"/>
                <w:sz w:val="20"/>
                <w:szCs w:val="20"/>
              </w:rPr>
            </w:pPr>
            <w:r>
              <w:rPr>
                <w:rFonts w:ascii="Arial" w:hAnsi="Arial" w:cs="Arial"/>
                <w:sz w:val="20"/>
                <w:szCs w:val="20"/>
              </w:rPr>
              <w:t>$74,888</w:t>
            </w:r>
          </w:p>
        </w:tc>
        <w:tc>
          <w:tcPr>
            <w:tcW w:w="3330" w:type="dxa"/>
          </w:tcPr>
          <w:p w:rsidR="00874EF7" w:rsidRPr="00B66A21" w:rsidRDefault="000D619A" w:rsidP="00551D8A">
            <w:pPr>
              <w:ind w:right="-720"/>
              <w:rPr>
                <w:rFonts w:ascii="Arial" w:hAnsi="Arial" w:cs="Arial"/>
                <w:sz w:val="20"/>
                <w:szCs w:val="20"/>
              </w:rPr>
            </w:pPr>
            <w:r>
              <w:rPr>
                <w:rFonts w:ascii="Arial" w:hAnsi="Arial" w:cs="Arial"/>
                <w:sz w:val="20"/>
                <w:szCs w:val="20"/>
              </w:rPr>
              <w:t>0.00</w:t>
            </w:r>
          </w:p>
        </w:tc>
        <w:tc>
          <w:tcPr>
            <w:tcW w:w="3420" w:type="dxa"/>
          </w:tcPr>
          <w:p w:rsidR="00874EF7" w:rsidRPr="00B66A21" w:rsidRDefault="00874EF7" w:rsidP="00551D8A">
            <w:pPr>
              <w:ind w:right="-720"/>
              <w:rPr>
                <w:rFonts w:ascii="Arial" w:hAnsi="Arial" w:cs="Arial"/>
                <w:sz w:val="20"/>
                <w:szCs w:val="20"/>
              </w:rPr>
            </w:pPr>
          </w:p>
          <w:p w:rsidR="00874EF7" w:rsidRPr="00B66A21" w:rsidRDefault="003A7C1E" w:rsidP="00551D8A">
            <w:pPr>
              <w:ind w:right="-720"/>
              <w:rPr>
                <w:rFonts w:ascii="Arial" w:hAnsi="Arial" w:cs="Arial"/>
                <w:sz w:val="20"/>
                <w:szCs w:val="20"/>
              </w:rPr>
            </w:pPr>
            <w:r>
              <w:rPr>
                <w:rFonts w:ascii="Arial" w:hAnsi="Arial" w:cs="Arial"/>
                <w:sz w:val="20"/>
                <w:szCs w:val="20"/>
              </w:rPr>
              <w:t>1</w:t>
            </w:r>
            <w:r w:rsidR="00901A8D">
              <w:rPr>
                <w:rFonts w:ascii="Arial" w:hAnsi="Arial" w:cs="Arial"/>
                <w:sz w:val="20"/>
                <w:szCs w:val="20"/>
              </w:rPr>
              <w:t>5%</w:t>
            </w:r>
          </w:p>
        </w:tc>
      </w:tr>
      <w:tr w:rsidR="000D619A" w:rsidRPr="00B66A21" w:rsidTr="00B66A21">
        <w:tc>
          <w:tcPr>
            <w:tcW w:w="4158" w:type="dxa"/>
          </w:tcPr>
          <w:p w:rsidR="000D619A" w:rsidRDefault="000D619A" w:rsidP="00551D8A">
            <w:pPr>
              <w:ind w:right="-720"/>
              <w:rPr>
                <w:rFonts w:ascii="Arial" w:hAnsi="Arial" w:cs="Arial"/>
                <w:sz w:val="20"/>
                <w:szCs w:val="20"/>
              </w:rPr>
            </w:pPr>
          </w:p>
        </w:tc>
        <w:tc>
          <w:tcPr>
            <w:tcW w:w="3330" w:type="dxa"/>
          </w:tcPr>
          <w:p w:rsidR="000D619A" w:rsidRDefault="000D619A" w:rsidP="00551D8A">
            <w:pPr>
              <w:ind w:right="-720"/>
              <w:rPr>
                <w:rFonts w:ascii="Arial" w:hAnsi="Arial" w:cs="Arial"/>
                <w:sz w:val="20"/>
                <w:szCs w:val="20"/>
              </w:rPr>
            </w:pPr>
          </w:p>
        </w:tc>
        <w:tc>
          <w:tcPr>
            <w:tcW w:w="3420" w:type="dxa"/>
          </w:tcPr>
          <w:p w:rsidR="000D619A" w:rsidRPr="00B66A21" w:rsidRDefault="000D619A"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901A8D" w:rsidP="00874EF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0D619A"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901A8D" w:rsidP="00874EF7">
            <w:pPr>
              <w:ind w:right="-720"/>
              <w:rPr>
                <w:rFonts w:ascii="Arial" w:hAnsi="Arial" w:cs="Arial"/>
                <w:sz w:val="20"/>
                <w:szCs w:val="20"/>
              </w:rPr>
            </w:pPr>
            <w:r>
              <w:rPr>
                <w:rFonts w:ascii="Arial" w:hAnsi="Arial" w:cs="Arial"/>
                <w:sz w:val="20"/>
                <w:szCs w:val="20"/>
              </w:rPr>
              <w:t>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901A8D" w:rsidRPr="00901A8D" w:rsidRDefault="00901A8D" w:rsidP="00901A8D">
      <w:pPr>
        <w:rPr>
          <w:rFonts w:ascii="Times New Roman" w:hAnsi="Times New Roman" w:cs="Times New Roman"/>
        </w:rPr>
      </w:pPr>
      <w:r w:rsidRPr="00901A8D">
        <w:rPr>
          <w:rFonts w:ascii="Times New Roman" w:hAnsi="Times New Roman" w:cs="Times New Roman"/>
        </w:rPr>
        <w:t xml:space="preserve">Field surveys of </w:t>
      </w:r>
      <w:proofErr w:type="spellStart"/>
      <w:proofErr w:type="gramStart"/>
      <w:r w:rsidRPr="00901A8D">
        <w:rPr>
          <w:rFonts w:ascii="Times New Roman" w:hAnsi="Times New Roman" w:cs="Times New Roman"/>
        </w:rPr>
        <w:t>portland</w:t>
      </w:r>
      <w:proofErr w:type="spellEnd"/>
      <w:proofErr w:type="gramEnd"/>
      <w:r w:rsidRPr="00901A8D">
        <w:rPr>
          <w:rFonts w:ascii="Times New Roman" w:hAnsi="Times New Roman" w:cs="Times New Roman"/>
        </w:rPr>
        <w:t xml:space="preserve"> cement concrete pavements and bridge decks containing slag cement (</w:t>
      </w:r>
      <w:r w:rsidRPr="00901A8D">
        <w:rPr>
          <w:rFonts w:ascii="Times New Roman" w:hAnsi="Times New Roman" w:cs="Times New Roman"/>
          <w:i/>
        </w:rPr>
        <w:t>13</w:t>
      </w:r>
      <w:r w:rsidRPr="00901A8D">
        <w:rPr>
          <w:rFonts w:ascii="Times New Roman" w:hAnsi="Times New Roman" w:cs="Times New Roman"/>
        </w:rPr>
        <w:t xml:space="preserve">) have already been conducted. This was done to evaluate whether the addition of slag cement to the concrete mixtures increased the surface scaling caused by the routine application of deicer salt. </w:t>
      </w:r>
      <w:r w:rsidRPr="00901A8D">
        <w:rPr>
          <w:rFonts w:ascii="Times New Roman" w:hAnsi="Times New Roman" w:cs="Times New Roman"/>
          <w:color w:val="000000"/>
        </w:rPr>
        <w:t>From t</w:t>
      </w:r>
      <w:r w:rsidRPr="00901A8D">
        <w:rPr>
          <w:rFonts w:ascii="Times New Roman" w:hAnsi="Times New Roman" w:cs="Times New Roman"/>
        </w:rPr>
        <w:t xml:space="preserve">his study it appeared that construction-related issues played a bigger role in the observed scaling performance than did the amount of slag in the concrete mixture.  The work also indicated that the test method C672 may be more severe than most environments.  </w:t>
      </w:r>
    </w:p>
    <w:p w:rsidR="00901A8D" w:rsidRPr="00901A8D" w:rsidRDefault="00901A8D" w:rsidP="00901A8D">
      <w:pPr>
        <w:rPr>
          <w:rFonts w:ascii="Times New Roman" w:hAnsi="Times New Roman" w:cs="Times New Roman"/>
        </w:rPr>
      </w:pPr>
      <w:r w:rsidRPr="00901A8D">
        <w:rPr>
          <w:rFonts w:ascii="Times New Roman" w:hAnsi="Times New Roman" w:cs="Times New Roman"/>
        </w:rPr>
        <w:t>The aim of this project is therefore to recommend a test method that is more representative of field performance for concrete in a salt scaling environment.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3A7C1E" w:rsidRDefault="003A7C1E" w:rsidP="003A7C1E">
      <w:pPr>
        <w:pStyle w:val="BodyText"/>
        <w:tabs>
          <w:tab w:val="left" w:pos="720"/>
          <w:tab w:val="left" w:pos="1440"/>
          <w:tab w:val="left" w:pos="2160"/>
          <w:tab w:val="left" w:pos="2880"/>
        </w:tabs>
        <w:spacing w:line="240" w:lineRule="atLeast"/>
        <w:ind w:left="720" w:hanging="720"/>
        <w:outlineLvl w:val="0"/>
        <w:rPr>
          <w:sz w:val="22"/>
          <w:szCs w:val="22"/>
        </w:rPr>
      </w:pPr>
      <w:r>
        <w:rPr>
          <w:sz w:val="22"/>
          <w:szCs w:val="22"/>
        </w:rPr>
        <w:t>The following 1</w:t>
      </w:r>
      <w:r w:rsidR="00F54097">
        <w:rPr>
          <w:sz w:val="22"/>
          <w:szCs w:val="22"/>
        </w:rPr>
        <w:t>0</w:t>
      </w:r>
      <w:r>
        <w:rPr>
          <w:sz w:val="22"/>
          <w:szCs w:val="22"/>
        </w:rPr>
        <w:t xml:space="preserve"> Concrete Mixes have been cast</w:t>
      </w:r>
      <w:r w:rsidR="00490274">
        <w:rPr>
          <w:sz w:val="22"/>
          <w:szCs w:val="22"/>
        </w:rPr>
        <w:t xml:space="preserve"> this quarter</w:t>
      </w:r>
      <w:r>
        <w:rPr>
          <w:sz w:val="22"/>
          <w:szCs w:val="22"/>
        </w:rPr>
        <w:t xml:space="preserve">: </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100% high alkali (</w:t>
      </w:r>
      <w:r w:rsidR="00F54097">
        <w:rPr>
          <w:sz w:val="22"/>
          <w:szCs w:val="22"/>
        </w:rPr>
        <w:t>H</w:t>
      </w:r>
      <w:r>
        <w:rPr>
          <w:sz w:val="22"/>
          <w:szCs w:val="22"/>
        </w:rPr>
        <w:t xml:space="preserve">A) cement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HA, 20%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HA, 35%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50% HA, 50%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LA, 20%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LA, 35%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50% LA, 50%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HA, 20%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HA, 35%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50% HA, 50% slag grade 100 mix 0.42wc, 6-7% air entrained using </w:t>
      </w:r>
      <w:proofErr w:type="spellStart"/>
      <w:r>
        <w:rPr>
          <w:sz w:val="22"/>
          <w:szCs w:val="22"/>
        </w:rPr>
        <w:t>Vinsol</w:t>
      </w:r>
      <w:proofErr w:type="spellEnd"/>
      <w:r>
        <w:rPr>
          <w:sz w:val="22"/>
          <w:szCs w:val="22"/>
        </w:rPr>
        <w:t xml:space="preserve"> Admixture</w:t>
      </w:r>
    </w:p>
    <w:p w:rsidR="00901A8D" w:rsidRDefault="00901A8D" w:rsidP="00901A8D">
      <w:pPr>
        <w:pStyle w:val="BodyText"/>
        <w:tabs>
          <w:tab w:val="left" w:pos="720"/>
          <w:tab w:val="left" w:pos="2160"/>
          <w:tab w:val="left" w:pos="2880"/>
        </w:tabs>
        <w:spacing w:line="240" w:lineRule="atLeast"/>
        <w:outlineLvl w:val="0"/>
        <w:rPr>
          <w:sz w:val="22"/>
          <w:szCs w:val="22"/>
        </w:rPr>
      </w:pPr>
    </w:p>
    <w:p w:rsidR="00901A8D" w:rsidRDefault="00901A8D" w:rsidP="00901A8D">
      <w:pPr>
        <w:pStyle w:val="BodyText"/>
        <w:tabs>
          <w:tab w:val="left" w:pos="720"/>
          <w:tab w:val="left" w:pos="2160"/>
          <w:tab w:val="left" w:pos="2880"/>
        </w:tabs>
        <w:spacing w:line="240" w:lineRule="atLeast"/>
        <w:outlineLvl w:val="0"/>
        <w:rPr>
          <w:sz w:val="22"/>
          <w:szCs w:val="22"/>
        </w:rPr>
      </w:pPr>
      <w:r>
        <w:rPr>
          <w:sz w:val="22"/>
          <w:szCs w:val="22"/>
        </w:rPr>
        <w:t xml:space="preserve">For each mix, 6 slabs have been cast for deicer scaling under the ASTM C672, modified BNQ and </w:t>
      </w:r>
      <w:proofErr w:type="spellStart"/>
      <w:r>
        <w:rPr>
          <w:sz w:val="22"/>
          <w:szCs w:val="22"/>
        </w:rPr>
        <w:t>VaDOT</w:t>
      </w:r>
      <w:proofErr w:type="spellEnd"/>
      <w:r>
        <w:rPr>
          <w:sz w:val="22"/>
          <w:szCs w:val="22"/>
        </w:rPr>
        <w:t xml:space="preserve"> accelerated curing regimes (2 slab specimens for each test).</w:t>
      </w:r>
    </w:p>
    <w:p w:rsidR="00901A8D" w:rsidRDefault="00901A8D" w:rsidP="00901A8D">
      <w:pPr>
        <w:pStyle w:val="BodyText"/>
        <w:tabs>
          <w:tab w:val="left" w:pos="720"/>
          <w:tab w:val="left" w:pos="2160"/>
          <w:tab w:val="left" w:pos="2880"/>
        </w:tabs>
        <w:spacing w:line="240" w:lineRule="atLeast"/>
        <w:ind w:left="1440"/>
        <w:outlineLvl w:val="0"/>
        <w:rPr>
          <w:sz w:val="22"/>
          <w:szCs w:val="22"/>
        </w:rPr>
      </w:pPr>
    </w:p>
    <w:p w:rsidR="00901A8D" w:rsidRDefault="00901A8D" w:rsidP="003A7C1E">
      <w:pPr>
        <w:pStyle w:val="BodyText"/>
        <w:tabs>
          <w:tab w:val="left" w:pos="720"/>
          <w:tab w:val="left" w:pos="1440"/>
          <w:tab w:val="left" w:pos="2160"/>
          <w:tab w:val="left" w:pos="2880"/>
        </w:tabs>
        <w:spacing w:line="240" w:lineRule="atLeast"/>
        <w:ind w:left="720" w:hanging="720"/>
        <w:outlineLvl w:val="0"/>
        <w:rPr>
          <w:sz w:val="22"/>
          <w:szCs w:val="22"/>
        </w:rPr>
      </w:pPr>
      <w:r>
        <w:rPr>
          <w:sz w:val="22"/>
          <w:szCs w:val="22"/>
        </w:rPr>
        <w:t>Test being conducted on the mixes above include:</w:t>
      </w:r>
    </w:p>
    <w:p w:rsidR="003A7C1E" w:rsidRDefault="003A7C1E" w:rsidP="003A7C1E">
      <w:pPr>
        <w:pStyle w:val="BodyText"/>
        <w:numPr>
          <w:ilvl w:val="1"/>
          <w:numId w:val="1"/>
        </w:numPr>
        <w:tabs>
          <w:tab w:val="clear" w:pos="1440"/>
          <w:tab w:val="num" w:pos="360"/>
          <w:tab w:val="left" w:pos="2160"/>
          <w:tab w:val="left" w:pos="2880"/>
        </w:tabs>
        <w:spacing w:line="240" w:lineRule="atLeast"/>
        <w:ind w:left="360"/>
        <w:outlineLvl w:val="0"/>
        <w:rPr>
          <w:sz w:val="22"/>
          <w:szCs w:val="22"/>
        </w:rPr>
      </w:pPr>
      <w:r>
        <w:rPr>
          <w:sz w:val="22"/>
          <w:szCs w:val="22"/>
        </w:rPr>
        <w:t xml:space="preserve">7, 14, 28 days, and 28 </w:t>
      </w:r>
      <w:proofErr w:type="spellStart"/>
      <w:r>
        <w:rPr>
          <w:sz w:val="22"/>
          <w:szCs w:val="22"/>
        </w:rPr>
        <w:t>VaDOT</w:t>
      </w:r>
      <w:proofErr w:type="spellEnd"/>
      <w:r>
        <w:rPr>
          <w:sz w:val="22"/>
          <w:szCs w:val="22"/>
        </w:rPr>
        <w:t xml:space="preserve"> accelerated curing (7days moist, then 21days moist at 38</w:t>
      </w:r>
      <w:r>
        <w:rPr>
          <w:rFonts w:ascii="Calibri" w:hAnsi="Calibri" w:cs="Calibri"/>
          <w:sz w:val="22"/>
          <w:szCs w:val="22"/>
        </w:rPr>
        <w:t>°</w:t>
      </w:r>
      <w:r>
        <w:rPr>
          <w:sz w:val="22"/>
          <w:szCs w:val="22"/>
        </w:rPr>
        <w:t>C) and 56 day compression strength tests (2 cylinders cast for each testing period)</w:t>
      </w:r>
    </w:p>
    <w:p w:rsidR="003A7C1E" w:rsidRPr="000A7A5A"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Pr>
          <w:sz w:val="22"/>
          <w:szCs w:val="22"/>
        </w:rPr>
        <w:t>14, 28, 28 accelerated, 56 day RCPT testing (2 samples per testing period)</w:t>
      </w:r>
    </w:p>
    <w:p w:rsidR="003A7C1E" w:rsidRPr="00CE51A6"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sidRPr="00CE51A6">
        <w:rPr>
          <w:sz w:val="22"/>
          <w:szCs w:val="22"/>
        </w:rPr>
        <w:t xml:space="preserve">Samples have been prepped </w:t>
      </w:r>
      <w:r>
        <w:rPr>
          <w:sz w:val="22"/>
          <w:szCs w:val="22"/>
        </w:rPr>
        <w:t>and scanned for Air Void analysis</w:t>
      </w:r>
      <w:r w:rsidRPr="00CE51A6">
        <w:rPr>
          <w:sz w:val="22"/>
          <w:szCs w:val="22"/>
        </w:rPr>
        <w:t xml:space="preserve"> for all mixes mentioned above</w:t>
      </w:r>
      <w:r>
        <w:rPr>
          <w:sz w:val="22"/>
          <w:szCs w:val="22"/>
        </w:rPr>
        <w:t>. Results are being processed and will be reported as soon as they are available.</w:t>
      </w:r>
    </w:p>
    <w:p w:rsidR="003A7C1E" w:rsidRPr="00CE51A6"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sidRPr="00CE51A6">
        <w:rPr>
          <w:sz w:val="22"/>
          <w:szCs w:val="22"/>
        </w:rPr>
        <w:t xml:space="preserve">Freeze/Thaw cycling has </w:t>
      </w:r>
      <w:r>
        <w:rPr>
          <w:sz w:val="22"/>
          <w:szCs w:val="22"/>
        </w:rPr>
        <w:t>been completed for 5 mixes and cycling has commenced on slabs from 8 more mixes (currently 5 -15</w:t>
      </w:r>
      <w:r w:rsidRPr="00CE51A6">
        <w:rPr>
          <w:sz w:val="22"/>
          <w:szCs w:val="22"/>
        </w:rPr>
        <w:t xml:space="preserve"> cycles have been completed depending on cast date of each mix)</w:t>
      </w:r>
      <w:r>
        <w:rPr>
          <w:sz w:val="22"/>
          <w:szCs w:val="22"/>
        </w:rPr>
        <w:t xml:space="preserve">. </w:t>
      </w:r>
    </w:p>
    <w:p w:rsidR="003A7C1E" w:rsidRDefault="003A7C1E" w:rsidP="003A7C1E">
      <w:pPr>
        <w:pStyle w:val="BodyText"/>
        <w:numPr>
          <w:ilvl w:val="1"/>
          <w:numId w:val="1"/>
        </w:numPr>
        <w:tabs>
          <w:tab w:val="clear" w:pos="1440"/>
          <w:tab w:val="num" w:pos="360"/>
          <w:tab w:val="left" w:pos="2160"/>
          <w:tab w:val="left" w:pos="2880"/>
        </w:tabs>
        <w:spacing w:line="240" w:lineRule="atLeast"/>
        <w:ind w:left="360"/>
        <w:outlineLvl w:val="0"/>
        <w:rPr>
          <w:sz w:val="22"/>
          <w:szCs w:val="22"/>
        </w:rPr>
      </w:pPr>
      <w:r>
        <w:rPr>
          <w:sz w:val="22"/>
          <w:szCs w:val="22"/>
        </w:rPr>
        <w:t xml:space="preserve">A slab has been instrumented with thermocouples to determine the temperature cycles experienced in the solution, just below the concrete surface and in the center of the slab. Results are pending as test is in progress. </w:t>
      </w:r>
    </w:p>
    <w:p w:rsidR="003A7C1E" w:rsidRPr="000A7A5A"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Pr>
          <w:sz w:val="22"/>
          <w:szCs w:val="22"/>
        </w:rPr>
        <w:t>2 slabs have been insulated to determine the effect s of one dimensional freezing. Results are pending as these tests is in progress</w:t>
      </w:r>
    </w:p>
    <w:p w:rsidR="00901A8D" w:rsidRDefault="00901A8D" w:rsidP="003A7C1E">
      <w:pPr>
        <w:pStyle w:val="BodyText"/>
        <w:tabs>
          <w:tab w:val="num" w:pos="360"/>
          <w:tab w:val="left" w:pos="2160"/>
          <w:tab w:val="left" w:pos="2880"/>
        </w:tabs>
        <w:spacing w:line="240" w:lineRule="atLeast"/>
        <w:ind w:left="360" w:hanging="360"/>
        <w:outlineLvl w:val="0"/>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A7C1E" w:rsidRDefault="003A7C1E" w:rsidP="003A7C1E">
      <w:pPr>
        <w:pStyle w:val="BodyText"/>
        <w:numPr>
          <w:ilvl w:val="1"/>
          <w:numId w:val="1"/>
        </w:numPr>
        <w:tabs>
          <w:tab w:val="clear" w:pos="1440"/>
          <w:tab w:val="num" w:pos="450"/>
          <w:tab w:val="left" w:pos="720"/>
          <w:tab w:val="left" w:pos="2160"/>
          <w:tab w:val="left" w:pos="2880"/>
        </w:tabs>
        <w:spacing w:line="240" w:lineRule="atLeast"/>
        <w:ind w:left="450" w:hanging="450"/>
        <w:outlineLvl w:val="0"/>
        <w:rPr>
          <w:sz w:val="22"/>
          <w:szCs w:val="22"/>
        </w:rPr>
      </w:pPr>
      <w:r>
        <w:rPr>
          <w:sz w:val="22"/>
          <w:szCs w:val="22"/>
        </w:rPr>
        <w:t>2 additional mixes still to be cast. Identical tests will be performed in these as listed above.</w:t>
      </w:r>
    </w:p>
    <w:p w:rsidR="003A7C1E" w:rsidRDefault="003A7C1E" w:rsidP="003A7C1E">
      <w:pPr>
        <w:pStyle w:val="BodyText"/>
        <w:numPr>
          <w:ilvl w:val="1"/>
          <w:numId w:val="1"/>
        </w:numPr>
        <w:tabs>
          <w:tab w:val="clear" w:pos="1440"/>
          <w:tab w:val="num" w:pos="450"/>
          <w:tab w:val="left" w:pos="720"/>
          <w:tab w:val="left" w:pos="2160"/>
          <w:tab w:val="left" w:pos="2880"/>
        </w:tabs>
        <w:spacing w:line="240" w:lineRule="atLeast"/>
        <w:ind w:left="450" w:hanging="450"/>
        <w:outlineLvl w:val="0"/>
        <w:rPr>
          <w:sz w:val="22"/>
          <w:szCs w:val="22"/>
        </w:rPr>
      </w:pPr>
      <w:r>
        <w:rPr>
          <w:sz w:val="22"/>
          <w:szCs w:val="22"/>
        </w:rPr>
        <w:t xml:space="preserve">Extra mixes may be cast to determine the effects </w:t>
      </w:r>
      <w:proofErr w:type="gramStart"/>
      <w:r>
        <w:rPr>
          <w:sz w:val="22"/>
          <w:szCs w:val="22"/>
        </w:rPr>
        <w:t>of a</w:t>
      </w:r>
      <w:proofErr w:type="gramEnd"/>
      <w:r>
        <w:rPr>
          <w:sz w:val="22"/>
          <w:szCs w:val="22"/>
        </w:rPr>
        <w:t xml:space="preserve"> Micro Air </w:t>
      </w:r>
      <w:proofErr w:type="spellStart"/>
      <w:r>
        <w:rPr>
          <w:sz w:val="22"/>
          <w:szCs w:val="22"/>
        </w:rPr>
        <w:t>entrainer</w:t>
      </w:r>
      <w:proofErr w:type="spellEnd"/>
      <w:r>
        <w:rPr>
          <w:sz w:val="22"/>
          <w:szCs w:val="22"/>
        </w:rPr>
        <w:t xml:space="preserve"> </w:t>
      </w:r>
      <w:proofErr w:type="spellStart"/>
      <w:r>
        <w:rPr>
          <w:sz w:val="22"/>
          <w:szCs w:val="22"/>
        </w:rPr>
        <w:t>vs</w:t>
      </w:r>
      <w:proofErr w:type="spellEnd"/>
      <w:r>
        <w:rPr>
          <w:sz w:val="22"/>
          <w:szCs w:val="22"/>
        </w:rPr>
        <w:t xml:space="preserve"> the </w:t>
      </w:r>
      <w:proofErr w:type="spellStart"/>
      <w:r>
        <w:rPr>
          <w:sz w:val="22"/>
          <w:szCs w:val="22"/>
        </w:rPr>
        <w:t>Vinsol</w:t>
      </w:r>
      <w:proofErr w:type="spellEnd"/>
      <w:r>
        <w:rPr>
          <w:sz w:val="22"/>
          <w:szCs w:val="22"/>
        </w:rPr>
        <w:t xml:space="preserve"> air </w:t>
      </w:r>
      <w:proofErr w:type="spellStart"/>
      <w:r>
        <w:rPr>
          <w:sz w:val="22"/>
          <w:szCs w:val="22"/>
        </w:rPr>
        <w:t>entrainer</w:t>
      </w:r>
      <w:proofErr w:type="spellEnd"/>
      <w:r>
        <w:rPr>
          <w:sz w:val="22"/>
          <w:szCs w:val="22"/>
        </w:rPr>
        <w:t xml:space="preserve"> provided there is enough freezer space.</w:t>
      </w:r>
    </w:p>
    <w:p w:rsidR="003A7C1E"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3A7C1E" w:rsidRDefault="003A7C1E" w:rsidP="003A7C1E">
      <w:pPr>
        <w:pStyle w:val="BodyText"/>
        <w:tabs>
          <w:tab w:val="left" w:pos="720"/>
          <w:tab w:val="left" w:pos="1440"/>
          <w:tab w:val="left" w:pos="2160"/>
          <w:tab w:val="left" w:pos="2880"/>
        </w:tabs>
        <w:spacing w:line="240" w:lineRule="atLeast"/>
        <w:outlineLvl w:val="0"/>
        <w:rPr>
          <w:sz w:val="22"/>
          <w:szCs w:val="22"/>
        </w:rPr>
      </w:pPr>
      <w:r>
        <w:rPr>
          <w:sz w:val="22"/>
          <w:szCs w:val="22"/>
        </w:rPr>
        <w:t xml:space="preserve">Interim Scaling Results: For the 5 mixes that have completed 50 cycles of freezing and thawing, the trend is for the BNQ test to result in lower scaling mass losses than in the ASTM C672 test. The major difference being that salt water is ponded on the surface of the BNQ slabs for 7 days prior to initiating freezing cycles. From interim results, use of the </w:t>
      </w:r>
      <w:proofErr w:type="spellStart"/>
      <w:r>
        <w:rPr>
          <w:sz w:val="22"/>
          <w:szCs w:val="22"/>
        </w:rPr>
        <w:t>VaDOT</w:t>
      </w:r>
      <w:proofErr w:type="spellEnd"/>
      <w:r>
        <w:rPr>
          <w:sz w:val="22"/>
          <w:szCs w:val="22"/>
        </w:rPr>
        <w:t xml:space="preserve"> accelerated curing regime (7 days at 73 </w:t>
      </w:r>
      <w:proofErr w:type="spellStart"/>
      <w:r w:rsidRPr="00B25C78">
        <w:rPr>
          <w:sz w:val="22"/>
          <w:szCs w:val="22"/>
          <w:vertAlign w:val="superscript"/>
        </w:rPr>
        <w:t>o</w:t>
      </w:r>
      <w:r>
        <w:rPr>
          <w:sz w:val="22"/>
          <w:szCs w:val="22"/>
        </w:rPr>
        <w:t>F</w:t>
      </w:r>
      <w:proofErr w:type="spellEnd"/>
      <w:r>
        <w:rPr>
          <w:sz w:val="22"/>
          <w:szCs w:val="22"/>
        </w:rPr>
        <w:t xml:space="preserve"> </w:t>
      </w:r>
      <w:r>
        <w:rPr>
          <w:sz w:val="22"/>
          <w:szCs w:val="22"/>
        </w:rPr>
        <w:lastRenderedPageBreak/>
        <w:t xml:space="preserve">followed by 21 days at 100 </w:t>
      </w:r>
      <w:proofErr w:type="spellStart"/>
      <w:r w:rsidRPr="00B25C78">
        <w:rPr>
          <w:sz w:val="22"/>
          <w:szCs w:val="22"/>
          <w:vertAlign w:val="superscript"/>
        </w:rPr>
        <w:t>o</w:t>
      </w:r>
      <w:r>
        <w:rPr>
          <w:sz w:val="22"/>
          <w:szCs w:val="22"/>
        </w:rPr>
        <w:t>F</w:t>
      </w:r>
      <w:proofErr w:type="spellEnd"/>
      <w:r>
        <w:rPr>
          <w:sz w:val="22"/>
          <w:szCs w:val="22"/>
        </w:rPr>
        <w:t>) prior to starting freezing cycles appear to be resulting in less scaling for the 50% slag mixes but increased scaling for the 100% Portland cement mixes..</w:t>
      </w:r>
    </w:p>
    <w:p w:rsidR="003A7C1E" w:rsidRPr="00C13753"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2F3827" w:rsidRDefault="003A7C1E" w:rsidP="002F3827">
      <w:pPr>
        <w:pStyle w:val="BodyText"/>
        <w:tabs>
          <w:tab w:val="left" w:pos="720"/>
          <w:tab w:val="left" w:pos="1440"/>
          <w:tab w:val="left" w:pos="2160"/>
          <w:tab w:val="left" w:pos="2880"/>
        </w:tabs>
        <w:spacing w:line="240" w:lineRule="atLeast"/>
        <w:rPr>
          <w:sz w:val="22"/>
          <w:szCs w:val="22"/>
        </w:rPr>
      </w:pPr>
      <w:r>
        <w:rPr>
          <w:sz w:val="22"/>
          <w:szCs w:val="22"/>
        </w:rPr>
        <w:t>Extension to 7/25/12 will match the ending date of the PFS and the federal cooperative agreement funding.</w:t>
      </w:r>
      <w:r w:rsidR="00F54097">
        <w:rPr>
          <w:sz w:val="22"/>
          <w:szCs w:val="22"/>
        </w:rPr>
        <w:t xml:space="preserve">  For ease and efficiency of billing, the pooled fund side of the funding has been designated for the subcontractor.  They are behind in their billing, and although working on the project, have not billed us as of yet.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bookmarkStart w:id="0" w:name="_GoBack"/>
      <w:bookmarkEnd w:id="0"/>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4C0" w:rsidRDefault="00B224C0" w:rsidP="00106C83">
      <w:pPr>
        <w:spacing w:after="0" w:line="240" w:lineRule="auto"/>
      </w:pPr>
      <w:r>
        <w:separator/>
      </w:r>
    </w:p>
  </w:endnote>
  <w:endnote w:type="continuationSeparator" w:id="0">
    <w:p w:rsidR="00B224C0" w:rsidRDefault="00B224C0"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8D" w:rsidRDefault="00901A8D">
    <w:pPr>
      <w:pStyle w:val="Footer"/>
    </w:pPr>
    <w:r>
      <w:t xml:space="preserve">TPF Program Standard Quarterly Reporting Format – </w:t>
    </w:r>
    <w:r w:rsidR="003A7C1E">
      <w:t>9</w:t>
    </w:r>
    <w:r>
      <w:t>/2011</w:t>
    </w:r>
  </w:p>
  <w:p w:rsidR="00901A8D" w:rsidRDefault="00901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4C0" w:rsidRDefault="00B224C0" w:rsidP="00106C83">
      <w:pPr>
        <w:spacing w:after="0" w:line="240" w:lineRule="auto"/>
      </w:pPr>
      <w:r>
        <w:separator/>
      </w:r>
    </w:p>
  </w:footnote>
  <w:footnote w:type="continuationSeparator" w:id="0">
    <w:p w:rsidR="00B224C0" w:rsidRDefault="00B224C0"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7140B"/>
    <w:multiLevelType w:val="hybridMultilevel"/>
    <w:tmpl w:val="480418EE"/>
    <w:lvl w:ilvl="0" w:tplc="1009000F">
      <w:start w:val="1"/>
      <w:numFmt w:val="decimal"/>
      <w:lvlText w:val="%1."/>
      <w:lvlJc w:val="left"/>
      <w:pPr>
        <w:tabs>
          <w:tab w:val="num" w:pos="1800"/>
        </w:tabs>
        <w:ind w:left="1800" w:hanging="360"/>
      </w:pPr>
      <w:rPr>
        <w:rFonts w:cs="Times New Roman"/>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1">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7E3E"/>
    <w:rsid w:val="000736BB"/>
    <w:rsid w:val="000C3FD8"/>
    <w:rsid w:val="000D619A"/>
    <w:rsid w:val="00106C83"/>
    <w:rsid w:val="00250933"/>
    <w:rsid w:val="00293FD8"/>
    <w:rsid w:val="002A79C8"/>
    <w:rsid w:val="002F3827"/>
    <w:rsid w:val="00350A2B"/>
    <w:rsid w:val="0038705A"/>
    <w:rsid w:val="003A7C1E"/>
    <w:rsid w:val="004156B2"/>
    <w:rsid w:val="00490274"/>
    <w:rsid w:val="004E14DC"/>
    <w:rsid w:val="004E213A"/>
    <w:rsid w:val="00551D8A"/>
    <w:rsid w:val="00743C01"/>
    <w:rsid w:val="00872F18"/>
    <w:rsid w:val="00874EF7"/>
    <w:rsid w:val="00901A8D"/>
    <w:rsid w:val="00A43875"/>
    <w:rsid w:val="00A827A6"/>
    <w:rsid w:val="00B2185C"/>
    <w:rsid w:val="00B224C0"/>
    <w:rsid w:val="00B66A21"/>
    <w:rsid w:val="00C13753"/>
    <w:rsid w:val="00C44C92"/>
    <w:rsid w:val="00D30CDB"/>
    <w:rsid w:val="00E53738"/>
    <w:rsid w:val="00EF08AE"/>
    <w:rsid w:val="00EF5790"/>
    <w:rsid w:val="00F54097"/>
    <w:rsid w:val="00FB44E5"/>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0A62-EB7A-4F2A-9B8B-813936F8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4</cp:revision>
  <dcterms:created xsi:type="dcterms:W3CDTF">2011-10-18T18:10:00Z</dcterms:created>
  <dcterms:modified xsi:type="dcterms:W3CDTF">2011-12-07T14:58:00Z</dcterms:modified>
</cp:coreProperties>
</file>