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Erin Flanigan,</w:t>
            </w:r>
            <w:r>
              <w:rPr>
                <w:rFonts w:ascii="Tahoma" w:hAnsi="Tahoma" w:cs="Tahoma"/>
                <w:b/>
                <w:bCs/>
                <w:sz w:val="18"/>
                <w:szCs w:val="18"/>
              </w:rPr>
              <w:t xml:space="preserve"> </w:t>
            </w:r>
            <w:r>
              <w:rPr>
                <w:rFonts w:ascii="sans-serif" w:hAnsi="sans-serif"/>
              </w:rPr>
              <w:t xml:space="preserve">Cambridge </w:t>
            </w:r>
            <w:proofErr w:type="spellStart"/>
            <w:r>
              <w:rPr>
                <w:rFonts w:ascii="sans-serif" w:hAnsi="sans-serif"/>
              </w:rPr>
              <w:t>Systematics</w:t>
            </w:r>
            <w:proofErr w:type="spellEnd"/>
            <w:r>
              <w:rPr>
                <w:rFonts w:ascii="sans-serif" w:hAnsi="sans-serif"/>
              </w:rPr>
              <w:t>, Inc</w:t>
            </w:r>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384D97" w:rsidP="005B3CA5">
            <w:pPr>
              <w:rPr>
                <w:sz w:val="24"/>
                <w:szCs w:val="24"/>
              </w:rPr>
            </w:pPr>
            <w:r>
              <w:rPr>
                <w:sz w:val="24"/>
                <w:szCs w:val="24"/>
              </w:rPr>
              <w:t>Sept</w:t>
            </w:r>
            <w:r w:rsidR="00310593">
              <w:rPr>
                <w:sz w:val="24"/>
                <w:szCs w:val="24"/>
              </w:rPr>
              <w:t xml:space="preserve"> 20</w:t>
            </w:r>
            <w:r w:rsidR="00FC095D">
              <w:rPr>
                <w:sz w:val="24"/>
                <w:szCs w:val="24"/>
              </w:rPr>
              <w:t>1</w:t>
            </w:r>
            <w:r w:rsidR="005B3CA5">
              <w:rPr>
                <w:sz w:val="24"/>
                <w:szCs w:val="24"/>
              </w:rPr>
              <w:t>1</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AD5DDB" w:rsidRPr="00AD5DDB" w:rsidRDefault="00850272" w:rsidP="00AD5DDB">
            <w:pPr>
              <w:widowControl/>
              <w:adjustRightInd w:val="0"/>
              <w:rPr>
                <w:rFonts w:ascii="Tahoma,Bold" w:hAnsi="Tahoma,Bold" w:cs="Tahoma,Bold"/>
                <w:b/>
                <w:bCs/>
                <w:color w:val="104160"/>
              </w:rPr>
            </w:pPr>
            <w:r>
              <w:rPr>
                <w:rFonts w:ascii="Tahoma,Bold" w:hAnsi="Tahoma,Bold" w:cs="Tahoma,Bold"/>
                <w:b/>
                <w:bCs/>
                <w:color w:val="104160"/>
              </w:rPr>
              <w:t xml:space="preserve">Work Accomplished </w:t>
            </w:r>
          </w:p>
          <w:p w:rsidR="00AD5DDB" w:rsidRDefault="00AD5DDB" w:rsidP="00CF79E7">
            <w:pPr>
              <w:pStyle w:val="ListParagraph"/>
              <w:widowControl/>
              <w:numPr>
                <w:ilvl w:val="0"/>
                <w:numId w:val="2"/>
              </w:numPr>
              <w:adjustRightInd w:val="0"/>
              <w:rPr>
                <w:rFonts w:ascii="Tahoma" w:hAnsi="Tahoma" w:cs="Tahoma"/>
              </w:rPr>
            </w:pPr>
            <w:r>
              <w:rPr>
                <w:rFonts w:ascii="Tahoma" w:hAnsi="Tahoma" w:cs="Tahoma"/>
              </w:rPr>
              <w:t>The formatting and review of the completed portions of the Guidebook was conducted. Based on that review the following changes were worked on:</w:t>
            </w:r>
          </w:p>
          <w:p w:rsidR="00CF79E7" w:rsidRDefault="00AD5DDB" w:rsidP="00AD5DDB">
            <w:pPr>
              <w:pStyle w:val="ListParagraph"/>
              <w:widowControl/>
              <w:numPr>
                <w:ilvl w:val="1"/>
                <w:numId w:val="2"/>
              </w:numPr>
              <w:adjustRightInd w:val="0"/>
              <w:rPr>
                <w:rFonts w:ascii="Tahoma" w:hAnsi="Tahoma" w:cs="Tahoma"/>
              </w:rPr>
            </w:pPr>
            <w:r w:rsidRPr="00AD5DDB">
              <w:rPr>
                <w:rFonts w:ascii="Tahoma" w:hAnsi="Tahoma" w:cs="Tahoma"/>
              </w:rPr>
              <w:t>Section 3.4 of the guidebook contains information on Case Studies that have been provided by</w:t>
            </w:r>
            <w:r w:rsidRPr="00AD5DDB">
              <w:rPr>
                <w:rFonts w:ascii="Tahoma" w:hAnsi="Tahoma" w:cs="Tahoma"/>
              </w:rPr>
              <w:t xml:space="preserve"> </w:t>
            </w:r>
            <w:r w:rsidRPr="00AD5DDB">
              <w:rPr>
                <w:rFonts w:ascii="Tahoma" w:hAnsi="Tahoma" w:cs="Tahoma"/>
              </w:rPr>
              <w:t>contractors from around the country. After an initial draft of the section was developed it became</w:t>
            </w:r>
            <w:r w:rsidRPr="00AD5DDB">
              <w:rPr>
                <w:rFonts w:ascii="Tahoma" w:hAnsi="Tahoma" w:cs="Tahoma"/>
              </w:rPr>
              <w:t xml:space="preserve"> </w:t>
            </w:r>
            <w:r w:rsidRPr="00AD5DDB">
              <w:rPr>
                <w:rFonts w:ascii="Tahoma" w:hAnsi="Tahoma" w:cs="Tahoma"/>
              </w:rPr>
              <w:t>apparent that additional follow up discussions were required. The primary information needed was the</w:t>
            </w:r>
            <w:r w:rsidRPr="00AD5DDB">
              <w:rPr>
                <w:rFonts w:ascii="Tahoma" w:hAnsi="Tahoma" w:cs="Tahoma"/>
              </w:rPr>
              <w:t xml:space="preserve"> </w:t>
            </w:r>
            <w:r w:rsidRPr="00AD5DDB">
              <w:rPr>
                <w:rFonts w:ascii="Tahoma" w:hAnsi="Tahoma" w:cs="Tahoma"/>
              </w:rPr>
              <w:t>follow up on the project purpose and context, and whether the data collection hours provided included</w:t>
            </w:r>
            <w:r w:rsidRPr="00AD5DDB">
              <w:rPr>
                <w:rFonts w:ascii="Tahoma" w:hAnsi="Tahoma" w:cs="Tahoma"/>
              </w:rPr>
              <w:t xml:space="preserve"> </w:t>
            </w:r>
            <w:r w:rsidRPr="00AD5DDB">
              <w:rPr>
                <w:rFonts w:ascii="Tahoma" w:hAnsi="Tahoma" w:cs="Tahoma"/>
              </w:rPr>
              <w:t>actual data collection or assembly of data. After this information was collected the Level of Effort was</w:t>
            </w:r>
            <w:r w:rsidRPr="00AD5DDB">
              <w:rPr>
                <w:rFonts w:ascii="Tahoma" w:hAnsi="Tahoma" w:cs="Tahoma"/>
              </w:rPr>
              <w:t xml:space="preserve"> </w:t>
            </w:r>
            <w:r w:rsidRPr="00AD5DDB">
              <w:rPr>
                <w:rFonts w:ascii="Tahoma" w:hAnsi="Tahoma" w:cs="Tahoma"/>
              </w:rPr>
              <w:t>"re-analyzed" and the section was updated</w:t>
            </w:r>
            <w:r w:rsidR="00CF79E7" w:rsidRPr="00AD5DDB">
              <w:rPr>
                <w:rFonts w:ascii="Tahoma" w:hAnsi="Tahoma" w:cs="Tahoma"/>
              </w:rPr>
              <w:t xml:space="preserve"> </w:t>
            </w:r>
          </w:p>
          <w:p w:rsidR="00AD5DDB" w:rsidRDefault="005839E4" w:rsidP="005839E4">
            <w:pPr>
              <w:pStyle w:val="ListParagraph"/>
              <w:widowControl/>
              <w:numPr>
                <w:ilvl w:val="1"/>
                <w:numId w:val="2"/>
              </w:numPr>
              <w:adjustRightInd w:val="0"/>
              <w:rPr>
                <w:rFonts w:ascii="Tahoma" w:hAnsi="Tahoma" w:cs="Tahoma"/>
              </w:rPr>
            </w:pPr>
            <w:r w:rsidRPr="005839E4">
              <w:rPr>
                <w:rFonts w:ascii="Tahoma" w:hAnsi="Tahoma" w:cs="Tahoma"/>
              </w:rPr>
              <w:t>Chapter 4 (data Collection) content was revisited based on further review of the direction from the</w:t>
            </w:r>
            <w:r w:rsidRPr="005839E4">
              <w:rPr>
                <w:rFonts w:ascii="Tahoma" w:hAnsi="Tahoma" w:cs="Tahoma"/>
              </w:rPr>
              <w:t xml:space="preserve"> </w:t>
            </w:r>
            <w:r w:rsidRPr="005839E4">
              <w:rPr>
                <w:rFonts w:ascii="Tahoma" w:hAnsi="Tahoma" w:cs="Tahoma"/>
              </w:rPr>
              <w:t>meeting minutes. Examples from the MNDOT manuals were explored and appropriate content was</w:t>
            </w:r>
            <w:r w:rsidRPr="005839E4">
              <w:rPr>
                <w:rFonts w:ascii="Tahoma" w:hAnsi="Tahoma" w:cs="Tahoma"/>
              </w:rPr>
              <w:t xml:space="preserve"> </w:t>
            </w:r>
            <w:r w:rsidRPr="005839E4">
              <w:rPr>
                <w:rFonts w:ascii="Tahoma" w:hAnsi="Tahoma" w:cs="Tahoma"/>
              </w:rPr>
              <w:t>incorporated in chapter 4</w:t>
            </w:r>
            <w:r>
              <w:rPr>
                <w:rFonts w:ascii="Tahoma" w:hAnsi="Tahoma" w:cs="Tahoma"/>
              </w:rPr>
              <w:t>.</w:t>
            </w:r>
          </w:p>
          <w:p w:rsidR="005839E4" w:rsidRPr="005839E4" w:rsidRDefault="005839E4" w:rsidP="005839E4">
            <w:pPr>
              <w:pStyle w:val="ListParagraph"/>
              <w:widowControl/>
              <w:numPr>
                <w:ilvl w:val="1"/>
                <w:numId w:val="2"/>
              </w:numPr>
              <w:adjustRightInd w:val="0"/>
              <w:rPr>
                <w:rFonts w:ascii="Tahoma" w:hAnsi="Tahoma" w:cs="Tahoma"/>
              </w:rPr>
            </w:pPr>
            <w:r w:rsidRPr="005839E4">
              <w:rPr>
                <w:rFonts w:ascii="Tahoma" w:hAnsi="Tahoma" w:cs="Tahoma"/>
              </w:rPr>
              <w:t xml:space="preserve">Chapter </w:t>
            </w:r>
            <w:proofErr w:type="gramStart"/>
            <w:r w:rsidRPr="005839E4">
              <w:rPr>
                <w:rFonts w:ascii="Tahoma" w:hAnsi="Tahoma" w:cs="Tahoma"/>
              </w:rPr>
              <w:t>6 (calibration) content</w:t>
            </w:r>
            <w:proofErr w:type="gramEnd"/>
            <w:r w:rsidRPr="005839E4">
              <w:rPr>
                <w:rFonts w:ascii="Tahoma" w:hAnsi="Tahoma" w:cs="Tahoma"/>
              </w:rPr>
              <w:t xml:space="preserve"> was revisited based on the direction from the March 6 meeting minutes</w:t>
            </w:r>
            <w:r w:rsidRPr="005839E4">
              <w:rPr>
                <w:rFonts w:ascii="Tahoma" w:hAnsi="Tahoma" w:cs="Tahoma"/>
              </w:rPr>
              <w:t xml:space="preserve"> </w:t>
            </w:r>
            <w:r w:rsidRPr="005839E4">
              <w:rPr>
                <w:rFonts w:ascii="Tahoma" w:hAnsi="Tahoma" w:cs="Tahoma"/>
              </w:rPr>
              <w:t>and re-examination of the data results required modifications to chapter 6. The modifications included</w:t>
            </w:r>
            <w:r w:rsidRPr="005839E4">
              <w:rPr>
                <w:rFonts w:ascii="Tahoma" w:hAnsi="Tahoma" w:cs="Tahoma"/>
              </w:rPr>
              <w:t xml:space="preserve"> </w:t>
            </w:r>
            <w:r w:rsidRPr="005839E4">
              <w:rPr>
                <w:rFonts w:ascii="Tahoma" w:hAnsi="Tahoma" w:cs="Tahoma"/>
              </w:rPr>
              <w:t>expanding the statistical analysis of the case study to 15 minute granularity. And expanding the</w:t>
            </w:r>
            <w:r w:rsidR="001C1469">
              <w:rPr>
                <w:rFonts w:ascii="Tahoma" w:hAnsi="Tahoma" w:cs="Tahoma"/>
              </w:rPr>
              <w:t xml:space="preserve"> </w:t>
            </w:r>
            <w:r w:rsidR="001C1469" w:rsidRPr="001C1469">
              <w:rPr>
                <w:rFonts w:ascii="Tahoma" w:hAnsi="Tahoma" w:cs="Tahoma"/>
              </w:rPr>
              <w:t>discussion of the calibration process to incorporate more elements from the NHI course.</w:t>
            </w:r>
          </w:p>
          <w:p w:rsidR="00556FFC" w:rsidRDefault="00556FFC" w:rsidP="00CF79E7">
            <w:pPr>
              <w:widowControl/>
              <w:adjustRightInd w:val="0"/>
              <w:rPr>
                <w:rFonts w:ascii="Tahoma" w:hAnsi="Tahoma" w:cs="Tahoma"/>
              </w:rPr>
            </w:pPr>
          </w:p>
          <w:p w:rsidR="00850272" w:rsidRDefault="00850272" w:rsidP="00CF79E7">
            <w:pPr>
              <w:widowControl/>
              <w:adjustRightInd w:val="0"/>
              <w:rPr>
                <w:rFonts w:ascii="Tahoma,Bold" w:hAnsi="Tahoma,Bold" w:cs="Tahoma,Bold"/>
                <w:b/>
                <w:bCs/>
                <w:color w:val="104160"/>
              </w:rPr>
            </w:pPr>
            <w:r>
              <w:rPr>
                <w:rFonts w:ascii="Tahoma,Bold" w:hAnsi="Tahoma,Bold" w:cs="Tahoma,Bold"/>
                <w:b/>
                <w:bCs/>
                <w:color w:val="104160"/>
              </w:rPr>
              <w:t xml:space="preserve">Work Planned </w:t>
            </w:r>
          </w:p>
          <w:p w:rsidR="005961C2" w:rsidRPr="00384D97" w:rsidRDefault="00384D97" w:rsidP="001D6BEC">
            <w:pPr>
              <w:pStyle w:val="ListParagraph"/>
              <w:numPr>
                <w:ilvl w:val="0"/>
                <w:numId w:val="3"/>
              </w:numPr>
              <w:rPr>
                <w:rFonts w:ascii="Times New Roman" w:hAnsi="Times New Roman"/>
              </w:rPr>
            </w:pPr>
            <w:r>
              <w:rPr>
                <w:rFonts w:ascii="Tahoma" w:hAnsi="Tahoma" w:cs="Tahoma"/>
                <w:sz w:val="18"/>
                <w:szCs w:val="18"/>
              </w:rPr>
              <w:t>Finalize Draft Report</w:t>
            </w:r>
          </w:p>
          <w:p w:rsidR="00384D97" w:rsidRPr="00384D97" w:rsidRDefault="00384D97" w:rsidP="001D6BEC">
            <w:pPr>
              <w:pStyle w:val="ListParagraph"/>
              <w:numPr>
                <w:ilvl w:val="0"/>
                <w:numId w:val="3"/>
              </w:numPr>
              <w:rPr>
                <w:rFonts w:ascii="Times New Roman" w:hAnsi="Times New Roman"/>
              </w:rPr>
            </w:pPr>
            <w:r>
              <w:rPr>
                <w:rFonts w:ascii="Tahoma" w:hAnsi="Tahoma" w:cs="Tahoma"/>
                <w:sz w:val="18"/>
                <w:szCs w:val="18"/>
              </w:rPr>
              <w:t>Hold a webinar with the PFS members to present and discuss the draft report</w:t>
            </w:r>
          </w:p>
          <w:p w:rsidR="00384D97" w:rsidRDefault="00384D97" w:rsidP="001D6BEC">
            <w:pPr>
              <w:pStyle w:val="ListParagraph"/>
              <w:numPr>
                <w:ilvl w:val="0"/>
                <w:numId w:val="3"/>
              </w:numPr>
              <w:rPr>
                <w:rFonts w:ascii="Times New Roman" w:hAnsi="Times New Roman"/>
              </w:rPr>
            </w:pPr>
            <w:r>
              <w:rPr>
                <w:rFonts w:ascii="Times New Roman" w:hAnsi="Times New Roman"/>
              </w:rPr>
              <w:t>Address and incorporate FHWA and  PFS member comments in to the final draft</w:t>
            </w:r>
          </w:p>
          <w:p w:rsidR="00384D97" w:rsidRPr="001D6BEC" w:rsidRDefault="00384D97" w:rsidP="001D6BEC">
            <w:pPr>
              <w:pStyle w:val="ListParagraph"/>
              <w:numPr>
                <w:ilvl w:val="0"/>
                <w:numId w:val="3"/>
              </w:numPr>
              <w:rPr>
                <w:rFonts w:ascii="Times New Roman" w:hAnsi="Times New Roman"/>
              </w:rPr>
            </w:pPr>
            <w:r>
              <w:rPr>
                <w:rFonts w:ascii="Times New Roman" w:hAnsi="Times New Roman"/>
              </w:rPr>
              <w:t>Prepare 508 captions and submit for HRT review and edits before publishing</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lastRenderedPageBreak/>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4D97">
              <w:rPr>
                <w:rFonts w:ascii="Times New Roman" w:hAnsi="Times New Roman"/>
                <w:u w:val="single"/>
              </w:rPr>
              <w:t>75</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rsids>
    <w:rsidRoot w:val="00A44338"/>
    <w:rsid w:val="000A37B8"/>
    <w:rsid w:val="00181014"/>
    <w:rsid w:val="001C1469"/>
    <w:rsid w:val="001D6BEC"/>
    <w:rsid w:val="00310593"/>
    <w:rsid w:val="00384D97"/>
    <w:rsid w:val="004741CB"/>
    <w:rsid w:val="00551675"/>
    <w:rsid w:val="00556FFC"/>
    <w:rsid w:val="005839E4"/>
    <w:rsid w:val="005961C2"/>
    <w:rsid w:val="005A7F91"/>
    <w:rsid w:val="005B2AB0"/>
    <w:rsid w:val="005B3CA5"/>
    <w:rsid w:val="005C6894"/>
    <w:rsid w:val="00622EA0"/>
    <w:rsid w:val="006A0F06"/>
    <w:rsid w:val="006D388A"/>
    <w:rsid w:val="00772A50"/>
    <w:rsid w:val="007D1EB3"/>
    <w:rsid w:val="00850272"/>
    <w:rsid w:val="00884732"/>
    <w:rsid w:val="00890D36"/>
    <w:rsid w:val="00A44338"/>
    <w:rsid w:val="00AD5DDB"/>
    <w:rsid w:val="00B228D9"/>
    <w:rsid w:val="00B87B57"/>
    <w:rsid w:val="00B920C2"/>
    <w:rsid w:val="00C86577"/>
    <w:rsid w:val="00CF79E7"/>
    <w:rsid w:val="00E16CA0"/>
    <w:rsid w:val="00E47DFA"/>
    <w:rsid w:val="00E81720"/>
    <w:rsid w:val="00FB4C2F"/>
    <w:rsid w:val="00FC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Roddis</dc:creator>
  <cp:keywords/>
  <dc:description/>
  <cp:lastModifiedBy>TFHRC</cp:lastModifiedBy>
  <cp:revision>3</cp:revision>
  <cp:lastPrinted>2004-02-10T13:29:00Z</cp:lastPrinted>
  <dcterms:created xsi:type="dcterms:W3CDTF">2011-10-12T13:21:00Z</dcterms:created>
  <dcterms:modified xsi:type="dcterms:W3CDTF">2011-10-27T18:02:00Z</dcterms:modified>
</cp:coreProperties>
</file>