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w:t>
      </w:r>
      <w:bookmarkStart w:id="0" w:name="_GoBack"/>
      <w:r w:rsidR="00872F18" w:rsidRPr="00FF32BE">
        <w:rPr>
          <w:rFonts w:ascii="Arial" w:hAnsi="Arial" w:cs="Arial"/>
          <w:i/>
          <w:sz w:val="20"/>
          <w:szCs w:val="20"/>
        </w:rPr>
        <w:t xml:space="preserve">the current status, including accomplishments and problems encountered, if any.  List all tasks, even if no work was done </w:t>
      </w:r>
      <w:bookmarkEnd w:id="0"/>
      <w:r w:rsidR="00872F18" w:rsidRPr="00FF32BE">
        <w:rPr>
          <w:rFonts w:ascii="Arial" w:hAnsi="Arial" w:cs="Arial"/>
          <w:i/>
          <w:sz w:val="20"/>
          <w:szCs w:val="20"/>
        </w:rPr>
        <w:t>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001B59" w:rsidRDefault="00872F18"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 xml:space="preserve">Transportation </w:t>
            </w:r>
            <w:r w:rsidR="00551D8A" w:rsidRPr="00001B59">
              <w:rPr>
                <w:rFonts w:ascii="Arial" w:hAnsi="Arial" w:cs="Arial"/>
                <w:b/>
                <w:color w:val="000000" w:themeColor="text1"/>
                <w:sz w:val="20"/>
                <w:szCs w:val="20"/>
              </w:rPr>
              <w:t xml:space="preserve">Pooled Fund </w:t>
            </w:r>
            <w:r w:rsidRPr="00001B59">
              <w:rPr>
                <w:rFonts w:ascii="Arial" w:hAnsi="Arial" w:cs="Arial"/>
                <w:b/>
                <w:color w:val="000000" w:themeColor="text1"/>
                <w:sz w:val="20"/>
                <w:szCs w:val="20"/>
              </w:rPr>
              <w:t xml:space="preserve">Program </w:t>
            </w:r>
            <w:r w:rsidR="00551D8A" w:rsidRPr="00001B59">
              <w:rPr>
                <w:rFonts w:ascii="Arial" w:hAnsi="Arial" w:cs="Arial"/>
                <w:b/>
                <w:color w:val="000000" w:themeColor="text1"/>
                <w:sz w:val="20"/>
                <w:szCs w:val="20"/>
              </w:rPr>
              <w:t>Project #</w:t>
            </w:r>
          </w:p>
          <w:p w:rsidR="00E35E0F" w:rsidRPr="00001B59" w:rsidRDefault="00E35E0F" w:rsidP="00551D8A">
            <w:pPr>
              <w:ind w:right="-720"/>
              <w:rPr>
                <w:rFonts w:ascii="Arial" w:hAnsi="Arial" w:cs="Arial"/>
                <w:b/>
                <w:color w:val="000000" w:themeColor="text1"/>
                <w:sz w:val="20"/>
                <w:szCs w:val="20"/>
              </w:rPr>
            </w:pPr>
          </w:p>
          <w:p w:rsidR="00DE34A5" w:rsidRPr="00001B59" w:rsidRDefault="00F44E10" w:rsidP="00551D8A">
            <w:pPr>
              <w:ind w:right="-720"/>
              <w:rPr>
                <w:rFonts w:ascii="Arial" w:hAnsi="Arial" w:cs="Arial"/>
                <w:b/>
                <w:color w:val="000000" w:themeColor="text1"/>
                <w:sz w:val="24"/>
                <w:szCs w:val="24"/>
                <w:u w:val="single"/>
              </w:rPr>
            </w:pPr>
            <w:r w:rsidRPr="00001B59">
              <w:rPr>
                <w:rFonts w:ascii="Arial" w:hAnsi="Arial" w:cs="Arial"/>
                <w:b/>
                <w:color w:val="000000" w:themeColor="text1"/>
                <w:sz w:val="24"/>
                <w:szCs w:val="24"/>
                <w:u w:val="single"/>
              </w:rPr>
              <w:t>TPF-5(145)</w:t>
            </w:r>
          </w:p>
        </w:tc>
        <w:tc>
          <w:tcPr>
            <w:tcW w:w="5490" w:type="dxa"/>
            <w:gridSpan w:val="2"/>
          </w:tcPr>
          <w:p w:rsidR="00551D8A" w:rsidRPr="00001B59" w:rsidRDefault="00872F18"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Transportation Pooled Fund Program - Report P</w:t>
            </w:r>
            <w:r w:rsidR="00551D8A" w:rsidRPr="00001B59">
              <w:rPr>
                <w:rFonts w:ascii="Arial" w:hAnsi="Arial" w:cs="Arial"/>
                <w:b/>
                <w:color w:val="000000" w:themeColor="text1"/>
                <w:sz w:val="20"/>
                <w:szCs w:val="20"/>
              </w:rPr>
              <w:t>eriod:</w:t>
            </w:r>
          </w:p>
          <w:p w:rsidR="00551D8A" w:rsidRPr="00001B59" w:rsidRDefault="001F2B6D" w:rsidP="00037FBC">
            <w:pPr>
              <w:ind w:right="-720"/>
              <w:rPr>
                <w:rFonts w:ascii="Arial" w:hAnsi="Arial" w:cs="Arial"/>
                <w:color w:val="000000" w:themeColor="text1"/>
                <w:sz w:val="20"/>
                <w:szCs w:val="20"/>
              </w:rPr>
            </w:pPr>
            <w:r w:rsidRPr="00001B59">
              <w:rPr>
                <w:rFonts w:ascii="Arial" w:hAnsi="Arial" w:cs="Arial"/>
                <w:b/>
                <w:color w:val="000000" w:themeColor="text1"/>
                <w:sz w:val="24"/>
                <w:szCs w:val="24"/>
              </w:rPr>
              <w:t>X</w:t>
            </w:r>
            <w:r w:rsidR="0018433C" w:rsidRPr="00001B59">
              <w:rPr>
                <w:rFonts w:ascii="Arial" w:hAnsi="Arial" w:cs="Arial"/>
                <w:color w:val="000000" w:themeColor="text1"/>
                <w:sz w:val="36"/>
                <w:szCs w:val="36"/>
              </w:rPr>
              <w:t xml:space="preserve"> </w:t>
            </w:r>
            <w:r w:rsidR="00551D8A" w:rsidRPr="00001B59">
              <w:rPr>
                <w:rFonts w:ascii="Arial" w:hAnsi="Arial" w:cs="Arial"/>
                <w:color w:val="000000" w:themeColor="text1"/>
                <w:sz w:val="20"/>
                <w:szCs w:val="20"/>
              </w:rPr>
              <w:t>Quarter 1 (January 1 – March 31)</w:t>
            </w:r>
          </w:p>
          <w:p w:rsidR="001F2B6D" w:rsidRPr="00001B59" w:rsidRDefault="001F2B6D" w:rsidP="00037FBC">
            <w:pPr>
              <w:ind w:right="-720"/>
              <w:rPr>
                <w:rFonts w:ascii="Arial" w:hAnsi="Arial" w:cs="Arial"/>
                <w:color w:val="000000" w:themeColor="text1"/>
                <w:sz w:val="16"/>
                <w:szCs w:val="16"/>
              </w:rPr>
            </w:pPr>
          </w:p>
          <w:p w:rsidR="00551D8A" w:rsidRPr="00001B59" w:rsidRDefault="001F2B6D" w:rsidP="00037FBC">
            <w:pPr>
              <w:ind w:right="-720"/>
              <w:rPr>
                <w:rFonts w:ascii="Arial" w:hAnsi="Arial" w:cs="Arial"/>
                <w:color w:val="000000" w:themeColor="text1"/>
                <w:sz w:val="20"/>
                <w:szCs w:val="20"/>
              </w:rPr>
            </w:pPr>
            <w:r w:rsidRPr="00001B59">
              <w:rPr>
                <w:rFonts w:ascii="Arial" w:hAnsi="Arial" w:cs="Arial"/>
                <w:b/>
                <w:color w:val="000000" w:themeColor="text1"/>
                <w:sz w:val="24"/>
                <w:szCs w:val="24"/>
              </w:rPr>
              <w:t>X</w:t>
            </w:r>
            <w:r w:rsidR="0018433C" w:rsidRPr="00001B59">
              <w:rPr>
                <w:rFonts w:ascii="Arial" w:hAnsi="Arial" w:cs="Arial"/>
                <w:color w:val="000000" w:themeColor="text1"/>
                <w:sz w:val="36"/>
                <w:szCs w:val="36"/>
              </w:rPr>
              <w:t xml:space="preserve"> </w:t>
            </w:r>
            <w:r w:rsidR="00551D8A" w:rsidRPr="00001B59">
              <w:rPr>
                <w:rFonts w:ascii="Arial" w:hAnsi="Arial" w:cs="Arial"/>
                <w:color w:val="000000" w:themeColor="text1"/>
                <w:sz w:val="20"/>
                <w:szCs w:val="20"/>
              </w:rPr>
              <w:t>Quarter 2 (April 1 – June 30)</w:t>
            </w:r>
          </w:p>
          <w:p w:rsidR="00551D8A" w:rsidRPr="00001B59" w:rsidRDefault="0018433C" w:rsidP="00037FBC">
            <w:pPr>
              <w:ind w:right="-720"/>
              <w:rPr>
                <w:rFonts w:ascii="Arial" w:hAnsi="Arial" w:cs="Arial"/>
                <w:color w:val="000000" w:themeColor="text1"/>
                <w:sz w:val="20"/>
                <w:szCs w:val="20"/>
              </w:rPr>
            </w:pPr>
            <w:r w:rsidRPr="00001B59">
              <w:rPr>
                <w:rFonts w:ascii="Arial" w:hAnsi="Arial" w:cs="Arial"/>
                <w:color w:val="000000" w:themeColor="text1"/>
                <w:sz w:val="36"/>
                <w:szCs w:val="36"/>
              </w:rPr>
              <w:t xml:space="preserve">_ </w:t>
            </w:r>
            <w:r w:rsidR="00551D8A" w:rsidRPr="00001B59">
              <w:rPr>
                <w:rFonts w:ascii="Arial" w:hAnsi="Arial" w:cs="Arial"/>
                <w:color w:val="000000" w:themeColor="text1"/>
                <w:sz w:val="20"/>
                <w:szCs w:val="20"/>
              </w:rPr>
              <w:t>Quarter 3 (July 1 – September 30)</w:t>
            </w:r>
          </w:p>
          <w:p w:rsidR="00551D8A" w:rsidRPr="00001B59" w:rsidRDefault="0018433C" w:rsidP="0018433C">
            <w:pPr>
              <w:ind w:right="-720"/>
              <w:rPr>
                <w:rFonts w:ascii="Arial" w:hAnsi="Arial" w:cs="Arial"/>
                <w:color w:val="000000" w:themeColor="text1"/>
                <w:sz w:val="20"/>
                <w:szCs w:val="20"/>
              </w:rPr>
            </w:pPr>
            <w:r w:rsidRPr="00001B59">
              <w:rPr>
                <w:rFonts w:ascii="Arial" w:hAnsi="Arial" w:cs="Arial"/>
                <w:color w:val="000000" w:themeColor="text1"/>
                <w:sz w:val="36"/>
                <w:szCs w:val="36"/>
              </w:rPr>
              <w:t xml:space="preserve">_ </w:t>
            </w:r>
            <w:r w:rsidR="00581B36" w:rsidRPr="00001B59">
              <w:rPr>
                <w:rFonts w:ascii="Arial" w:hAnsi="Arial" w:cs="Arial"/>
                <w:color w:val="000000" w:themeColor="text1"/>
                <w:sz w:val="20"/>
                <w:szCs w:val="20"/>
              </w:rPr>
              <w:t>Quarter 4 (October 1</w:t>
            </w:r>
            <w:r w:rsidR="00551D8A" w:rsidRPr="00001B59">
              <w:rPr>
                <w:rFonts w:ascii="Arial" w:hAnsi="Arial" w:cs="Arial"/>
                <w:color w:val="000000" w:themeColor="text1"/>
                <w:sz w:val="20"/>
                <w:szCs w:val="20"/>
              </w:rPr>
              <w:t xml:space="preserve"> – December 31)</w:t>
            </w:r>
          </w:p>
        </w:tc>
      </w:tr>
      <w:tr w:rsidR="00743C01" w:rsidRPr="00B66A21" w:rsidTr="00874EF7">
        <w:tc>
          <w:tcPr>
            <w:tcW w:w="10908" w:type="dxa"/>
            <w:gridSpan w:val="4"/>
          </w:tcPr>
          <w:p w:rsidR="00743C01" w:rsidRPr="00001B59" w:rsidRDefault="00743C01"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Project Title:</w:t>
            </w:r>
          </w:p>
          <w:p w:rsidR="00DE34A5" w:rsidRPr="00001B59" w:rsidRDefault="00DE34A5" w:rsidP="00551D8A">
            <w:pPr>
              <w:ind w:right="-720"/>
              <w:rPr>
                <w:rFonts w:ascii="Arial" w:hAnsi="Arial" w:cs="Arial"/>
                <w:b/>
                <w:color w:val="000000" w:themeColor="text1"/>
                <w:sz w:val="16"/>
                <w:szCs w:val="16"/>
              </w:rPr>
            </w:pPr>
          </w:p>
          <w:p w:rsidR="00535598" w:rsidRPr="00001B59" w:rsidRDefault="00DE34A5" w:rsidP="00551D8A">
            <w:pPr>
              <w:ind w:right="-720"/>
              <w:rPr>
                <w:rFonts w:ascii="Arial" w:hAnsi="Arial" w:cs="Arial"/>
                <w:b/>
                <w:color w:val="000000" w:themeColor="text1"/>
                <w:sz w:val="24"/>
                <w:szCs w:val="24"/>
              </w:rPr>
            </w:pPr>
            <w:r w:rsidRPr="00001B59">
              <w:rPr>
                <w:rFonts w:ascii="Arial" w:hAnsi="Arial" w:cs="Arial"/>
                <w:b/>
                <w:color w:val="000000" w:themeColor="text1"/>
                <w:sz w:val="24"/>
                <w:szCs w:val="24"/>
              </w:rPr>
              <w:t>Western Maintenance Partnership</w:t>
            </w:r>
          </w:p>
          <w:p w:rsidR="00743C01" w:rsidRPr="00001B59" w:rsidRDefault="00743C01" w:rsidP="00551D8A">
            <w:pPr>
              <w:ind w:right="-720"/>
              <w:rPr>
                <w:rFonts w:ascii="Arial" w:hAnsi="Arial" w:cs="Arial"/>
                <w:color w:val="000000" w:themeColor="text1"/>
                <w:sz w:val="16"/>
                <w:szCs w:val="16"/>
              </w:rPr>
            </w:pPr>
          </w:p>
        </w:tc>
      </w:tr>
      <w:tr w:rsidR="00743C01" w:rsidRPr="00B66A21" w:rsidTr="00C13753">
        <w:tc>
          <w:tcPr>
            <w:tcW w:w="4158" w:type="dxa"/>
          </w:tcPr>
          <w:p w:rsidR="00743C01" w:rsidRPr="00001B59" w:rsidRDefault="00535598"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Name of Project Manager(s):</w:t>
            </w:r>
          </w:p>
          <w:p w:rsidR="00DE34A5" w:rsidRPr="00001B59" w:rsidRDefault="00DE34A5" w:rsidP="00551D8A">
            <w:pPr>
              <w:ind w:right="-720"/>
              <w:rPr>
                <w:rFonts w:ascii="Arial" w:hAnsi="Arial" w:cs="Arial"/>
                <w:b/>
                <w:color w:val="000000" w:themeColor="text1"/>
                <w:sz w:val="16"/>
                <w:szCs w:val="16"/>
              </w:rPr>
            </w:pPr>
          </w:p>
          <w:p w:rsidR="00DE34A5" w:rsidRPr="00001B59" w:rsidRDefault="00DE34A5" w:rsidP="00551D8A">
            <w:pPr>
              <w:ind w:right="-720"/>
              <w:rPr>
                <w:rFonts w:ascii="Arial" w:hAnsi="Arial" w:cs="Arial"/>
                <w:b/>
                <w:color w:val="000000" w:themeColor="text1"/>
                <w:sz w:val="24"/>
                <w:szCs w:val="24"/>
              </w:rPr>
            </w:pPr>
            <w:r w:rsidRPr="00001B59">
              <w:rPr>
                <w:rFonts w:ascii="Arial" w:hAnsi="Arial" w:cs="Arial"/>
                <w:b/>
                <w:color w:val="000000" w:themeColor="text1"/>
                <w:sz w:val="24"/>
                <w:szCs w:val="24"/>
              </w:rPr>
              <w:t>Richard Clarke</w:t>
            </w:r>
          </w:p>
        </w:tc>
        <w:tc>
          <w:tcPr>
            <w:tcW w:w="3330" w:type="dxa"/>
            <w:gridSpan w:val="2"/>
          </w:tcPr>
          <w:p w:rsidR="00743C01" w:rsidRPr="00001B59" w:rsidRDefault="00535598"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Phone Number:</w:t>
            </w:r>
          </w:p>
          <w:p w:rsidR="00094A20" w:rsidRPr="00001B59" w:rsidRDefault="00094A20" w:rsidP="00551D8A">
            <w:pPr>
              <w:ind w:right="-720"/>
              <w:rPr>
                <w:rFonts w:ascii="Arial" w:hAnsi="Arial" w:cs="Arial"/>
                <w:b/>
                <w:color w:val="000000" w:themeColor="text1"/>
                <w:sz w:val="16"/>
                <w:szCs w:val="16"/>
              </w:rPr>
            </w:pPr>
          </w:p>
          <w:p w:rsidR="00094A20" w:rsidRPr="00001B59" w:rsidRDefault="00094A20" w:rsidP="00551D8A">
            <w:pPr>
              <w:ind w:right="-720"/>
              <w:rPr>
                <w:rFonts w:ascii="Arial" w:hAnsi="Arial" w:cs="Arial"/>
                <w:b/>
                <w:color w:val="000000" w:themeColor="text1"/>
                <w:sz w:val="24"/>
                <w:szCs w:val="24"/>
              </w:rPr>
            </w:pPr>
            <w:r w:rsidRPr="00001B59">
              <w:rPr>
                <w:rFonts w:ascii="Arial" w:hAnsi="Arial" w:cs="Arial"/>
                <w:b/>
                <w:color w:val="000000" w:themeColor="text1"/>
                <w:sz w:val="24"/>
                <w:szCs w:val="24"/>
              </w:rPr>
              <w:t>801-965-</w:t>
            </w:r>
            <w:r w:rsidR="00F44E10" w:rsidRPr="00001B59">
              <w:rPr>
                <w:rFonts w:ascii="Arial" w:hAnsi="Arial" w:cs="Arial"/>
                <w:b/>
                <w:color w:val="000000" w:themeColor="text1"/>
                <w:sz w:val="24"/>
                <w:szCs w:val="24"/>
              </w:rPr>
              <w:t>4120</w:t>
            </w:r>
          </w:p>
        </w:tc>
        <w:tc>
          <w:tcPr>
            <w:tcW w:w="3420" w:type="dxa"/>
          </w:tcPr>
          <w:p w:rsidR="00743C01" w:rsidRPr="00001B59" w:rsidRDefault="00535598" w:rsidP="00551D8A">
            <w:pPr>
              <w:ind w:right="-720"/>
              <w:rPr>
                <w:rFonts w:ascii="Arial" w:hAnsi="Arial" w:cs="Arial"/>
                <w:b/>
                <w:color w:val="000000" w:themeColor="text1"/>
                <w:sz w:val="20"/>
                <w:szCs w:val="20"/>
              </w:rPr>
            </w:pPr>
            <w:r w:rsidRPr="00001B59">
              <w:rPr>
                <w:rFonts w:ascii="Arial" w:hAnsi="Arial" w:cs="Arial"/>
                <w:b/>
                <w:color w:val="000000" w:themeColor="text1"/>
                <w:sz w:val="20"/>
                <w:szCs w:val="20"/>
              </w:rPr>
              <w:t>E-Mail</w:t>
            </w:r>
          </w:p>
          <w:p w:rsidR="00535598" w:rsidRPr="00001B59" w:rsidRDefault="00535598" w:rsidP="00551D8A">
            <w:pPr>
              <w:ind w:right="-720"/>
              <w:rPr>
                <w:rFonts w:ascii="Arial" w:hAnsi="Arial" w:cs="Arial"/>
                <w:color w:val="000000" w:themeColor="text1"/>
                <w:sz w:val="16"/>
                <w:szCs w:val="16"/>
              </w:rPr>
            </w:pPr>
          </w:p>
          <w:p w:rsidR="004156B2" w:rsidRPr="00001B59" w:rsidRDefault="00F44E10" w:rsidP="00551D8A">
            <w:pPr>
              <w:ind w:right="-720"/>
              <w:rPr>
                <w:rFonts w:ascii="Arial" w:hAnsi="Arial" w:cs="Arial"/>
                <w:b/>
                <w:color w:val="000000" w:themeColor="text1"/>
                <w:sz w:val="24"/>
                <w:szCs w:val="24"/>
              </w:rPr>
            </w:pPr>
            <w:r w:rsidRPr="00001B59">
              <w:rPr>
                <w:rFonts w:ascii="Arial" w:hAnsi="Arial" w:cs="Arial"/>
                <w:b/>
                <w:color w:val="000000" w:themeColor="text1"/>
                <w:sz w:val="24"/>
                <w:szCs w:val="24"/>
              </w:rPr>
              <w:t>Richardclarke@utah.gov</w:t>
            </w:r>
          </w:p>
        </w:tc>
      </w:tr>
      <w:tr w:rsidR="00535598" w:rsidRPr="00B66A21" w:rsidTr="00C13753">
        <w:tc>
          <w:tcPr>
            <w:tcW w:w="4158" w:type="dxa"/>
          </w:tcPr>
          <w:p w:rsidR="00535598" w:rsidRPr="00001B59" w:rsidRDefault="00535598" w:rsidP="00D74CFF">
            <w:pPr>
              <w:ind w:right="-720"/>
              <w:rPr>
                <w:rFonts w:ascii="Arial" w:hAnsi="Arial" w:cs="Arial"/>
                <w:b/>
                <w:color w:val="000000" w:themeColor="text1"/>
                <w:sz w:val="20"/>
                <w:szCs w:val="20"/>
              </w:rPr>
            </w:pPr>
            <w:r w:rsidRPr="00001B59">
              <w:rPr>
                <w:rFonts w:ascii="Arial" w:hAnsi="Arial" w:cs="Arial"/>
                <w:b/>
                <w:color w:val="000000" w:themeColor="text1"/>
                <w:sz w:val="20"/>
                <w:szCs w:val="20"/>
              </w:rPr>
              <w:t>Lead Agency Project ID:</w:t>
            </w:r>
          </w:p>
          <w:p w:rsidR="00F44E10" w:rsidRPr="00001B59" w:rsidRDefault="00F44E10" w:rsidP="00D74CFF">
            <w:pPr>
              <w:ind w:right="-720"/>
              <w:rPr>
                <w:rFonts w:ascii="Arial" w:hAnsi="Arial" w:cs="Arial"/>
                <w:b/>
                <w:color w:val="000000" w:themeColor="text1"/>
                <w:sz w:val="16"/>
                <w:szCs w:val="16"/>
              </w:rPr>
            </w:pPr>
          </w:p>
          <w:p w:rsidR="00F44E10" w:rsidRPr="00001B59" w:rsidRDefault="00F44E10" w:rsidP="00D74CFF">
            <w:pPr>
              <w:ind w:right="-720"/>
              <w:rPr>
                <w:rFonts w:ascii="Arial" w:hAnsi="Arial" w:cs="Arial"/>
                <w:b/>
                <w:color w:val="000000" w:themeColor="text1"/>
                <w:sz w:val="24"/>
                <w:szCs w:val="24"/>
              </w:rPr>
            </w:pPr>
            <w:r w:rsidRPr="00001B59">
              <w:rPr>
                <w:rFonts w:ascii="Arial" w:hAnsi="Arial" w:cs="Arial"/>
                <w:b/>
                <w:color w:val="000000" w:themeColor="text1"/>
                <w:sz w:val="24"/>
                <w:szCs w:val="24"/>
              </w:rPr>
              <w:t>42008</w:t>
            </w:r>
          </w:p>
        </w:tc>
        <w:tc>
          <w:tcPr>
            <w:tcW w:w="3330" w:type="dxa"/>
            <w:gridSpan w:val="2"/>
          </w:tcPr>
          <w:p w:rsidR="00535598" w:rsidRPr="00001B59" w:rsidRDefault="00535598" w:rsidP="00D74CFF">
            <w:pPr>
              <w:ind w:right="-720"/>
              <w:rPr>
                <w:rFonts w:ascii="Arial" w:hAnsi="Arial" w:cs="Arial"/>
                <w:b/>
                <w:color w:val="000000" w:themeColor="text1"/>
                <w:sz w:val="20"/>
                <w:szCs w:val="20"/>
              </w:rPr>
            </w:pPr>
            <w:r w:rsidRPr="00001B59">
              <w:rPr>
                <w:rFonts w:ascii="Arial" w:hAnsi="Arial" w:cs="Arial"/>
                <w:b/>
                <w:color w:val="000000" w:themeColor="text1"/>
                <w:sz w:val="20"/>
                <w:szCs w:val="20"/>
              </w:rPr>
              <w:t>Other Project ID (i.e., contract #):</w:t>
            </w:r>
          </w:p>
        </w:tc>
        <w:tc>
          <w:tcPr>
            <w:tcW w:w="3420" w:type="dxa"/>
          </w:tcPr>
          <w:p w:rsidR="00535598" w:rsidRPr="00001B59" w:rsidRDefault="00535598" w:rsidP="00D74CFF">
            <w:pPr>
              <w:ind w:right="-720"/>
              <w:rPr>
                <w:rFonts w:ascii="Arial" w:hAnsi="Arial" w:cs="Arial"/>
                <w:b/>
                <w:color w:val="000000" w:themeColor="text1"/>
                <w:sz w:val="20"/>
                <w:szCs w:val="20"/>
              </w:rPr>
            </w:pPr>
            <w:r w:rsidRPr="00001B59">
              <w:rPr>
                <w:rFonts w:ascii="Arial" w:hAnsi="Arial" w:cs="Arial"/>
                <w:b/>
                <w:color w:val="000000" w:themeColor="text1"/>
                <w:sz w:val="20"/>
                <w:szCs w:val="20"/>
              </w:rPr>
              <w:t>Project Start Date:</w:t>
            </w:r>
          </w:p>
          <w:p w:rsidR="00535598" w:rsidRPr="00001B59" w:rsidRDefault="001F2B6D" w:rsidP="00D74CFF">
            <w:pPr>
              <w:ind w:right="-720"/>
              <w:rPr>
                <w:rFonts w:ascii="Arial" w:hAnsi="Arial" w:cs="Arial"/>
                <w:color w:val="000000" w:themeColor="text1"/>
                <w:sz w:val="20"/>
                <w:szCs w:val="20"/>
              </w:rPr>
            </w:pPr>
            <w:r w:rsidRPr="00001B59">
              <w:rPr>
                <w:rFonts w:ascii="Arial" w:hAnsi="Arial" w:cs="Arial"/>
                <w:color w:val="000000" w:themeColor="text1"/>
                <w:sz w:val="20"/>
                <w:szCs w:val="20"/>
              </w:rPr>
              <w:t>2006</w:t>
            </w:r>
          </w:p>
          <w:p w:rsidR="00535598" w:rsidRPr="00001B59" w:rsidRDefault="00535598" w:rsidP="00D74CFF">
            <w:pPr>
              <w:ind w:right="-720"/>
              <w:rPr>
                <w:rFonts w:ascii="Arial" w:hAnsi="Arial" w:cs="Arial"/>
                <w:color w:val="000000" w:themeColor="text1"/>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E5E2D" w:rsidRDefault="00AE5E2D" w:rsidP="00551D8A">
            <w:pPr>
              <w:ind w:right="-720"/>
              <w:rPr>
                <w:rFonts w:ascii="Arial" w:hAnsi="Arial" w:cs="Arial"/>
                <w:sz w:val="20"/>
                <w:szCs w:val="20"/>
              </w:rPr>
            </w:pPr>
            <w:r>
              <w:rPr>
                <w:rFonts w:ascii="Arial" w:hAnsi="Arial" w:cs="Arial"/>
                <w:sz w:val="20"/>
                <w:szCs w:val="20"/>
              </w:rPr>
              <w:t xml:space="preserve">We started out with </w:t>
            </w:r>
            <w:r w:rsidR="001F2B6D">
              <w:rPr>
                <w:rFonts w:ascii="Arial" w:hAnsi="Arial" w:cs="Arial"/>
                <w:sz w:val="20"/>
                <w:szCs w:val="20"/>
              </w:rPr>
              <w:t>$188,000</w:t>
            </w:r>
            <w:r>
              <w:rPr>
                <w:rFonts w:ascii="Arial" w:hAnsi="Arial" w:cs="Arial"/>
                <w:sz w:val="20"/>
                <w:szCs w:val="20"/>
              </w:rPr>
              <w:t xml:space="preserve"> in contributions,</w:t>
            </w:r>
          </w:p>
          <w:p w:rsidR="00874EF7" w:rsidRPr="00B66A21" w:rsidRDefault="00AE5E2D" w:rsidP="00551D8A">
            <w:pPr>
              <w:ind w:right="-720"/>
              <w:rPr>
                <w:rFonts w:ascii="Arial" w:hAnsi="Arial" w:cs="Arial"/>
                <w:sz w:val="20"/>
                <w:szCs w:val="20"/>
              </w:rPr>
            </w:pPr>
            <w:r>
              <w:rPr>
                <w:rFonts w:ascii="Arial" w:hAnsi="Arial" w:cs="Arial"/>
                <w:sz w:val="20"/>
                <w:szCs w:val="20"/>
              </w:rPr>
              <w:t xml:space="preserve"> it has now grown to $245,000</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$58,796</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AE5E2D">
            <w:pPr>
              <w:ind w:right="-720"/>
              <w:rPr>
                <w:rFonts w:ascii="Arial" w:hAnsi="Arial" w:cs="Arial"/>
                <w:sz w:val="20"/>
                <w:szCs w:val="20"/>
              </w:rPr>
            </w:pPr>
          </w:p>
        </w:tc>
        <w:tc>
          <w:tcPr>
            <w:tcW w:w="3330" w:type="dxa"/>
          </w:tcPr>
          <w:p w:rsidR="00AE5E2D" w:rsidRDefault="00AE5E2D" w:rsidP="00874EF7">
            <w:pPr>
              <w:ind w:right="-720"/>
              <w:rPr>
                <w:rFonts w:ascii="Arial" w:hAnsi="Arial" w:cs="Arial"/>
                <w:sz w:val="20"/>
                <w:szCs w:val="20"/>
              </w:rPr>
            </w:pPr>
            <w:r>
              <w:rPr>
                <w:rFonts w:ascii="Arial" w:hAnsi="Arial" w:cs="Arial"/>
                <w:sz w:val="20"/>
                <w:szCs w:val="20"/>
              </w:rPr>
              <w:t xml:space="preserve">$4,312 Were expended in March </w:t>
            </w:r>
          </w:p>
          <w:p w:rsidR="00B66A21" w:rsidRPr="00B66A21" w:rsidRDefault="00AE5E2D" w:rsidP="00874EF7">
            <w:pPr>
              <w:ind w:right="-720"/>
              <w:rPr>
                <w:rFonts w:ascii="Arial" w:hAnsi="Arial" w:cs="Arial"/>
                <w:sz w:val="20"/>
                <w:szCs w:val="20"/>
              </w:rPr>
            </w:pPr>
            <w:r>
              <w:rPr>
                <w:rFonts w:ascii="Arial" w:hAnsi="Arial" w:cs="Arial"/>
                <w:sz w:val="20"/>
                <w:szCs w:val="20"/>
              </w:rPr>
              <w:t>of 2011</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1457E" w:rsidRDefault="00AE5E2D" w:rsidP="00551D8A">
            <w:pPr>
              <w:ind w:right="-720"/>
              <w:rPr>
                <w:rFonts w:ascii="Arial" w:hAnsi="Arial" w:cs="Arial"/>
                <w:sz w:val="20"/>
                <w:szCs w:val="20"/>
              </w:rPr>
            </w:pPr>
            <w:r>
              <w:rPr>
                <w:rFonts w:ascii="Arial" w:hAnsi="Arial" w:cs="Arial"/>
                <w:sz w:val="20"/>
                <w:szCs w:val="20"/>
              </w:rPr>
              <w:t>In March we held a meeting in Omaha Nebraska where the Maintenance Engineer from all of the WASHTO States were</w:t>
            </w:r>
          </w:p>
          <w:p w:rsidR="00C1457E" w:rsidRDefault="00C1457E" w:rsidP="00551D8A">
            <w:pPr>
              <w:ind w:right="-720"/>
              <w:rPr>
                <w:rFonts w:ascii="Arial" w:hAnsi="Arial" w:cs="Arial"/>
                <w:sz w:val="20"/>
                <w:szCs w:val="20"/>
              </w:rPr>
            </w:pPr>
            <w:r>
              <w:rPr>
                <w:rFonts w:ascii="Arial" w:hAnsi="Arial" w:cs="Arial"/>
                <w:sz w:val="20"/>
                <w:szCs w:val="20"/>
              </w:rPr>
              <w:t xml:space="preserve"> Invi</w:t>
            </w:r>
            <w:r w:rsidR="00AE5E2D">
              <w:rPr>
                <w:rFonts w:ascii="Arial" w:hAnsi="Arial" w:cs="Arial"/>
                <w:sz w:val="20"/>
                <w:szCs w:val="20"/>
              </w:rPr>
              <w:t>te</w:t>
            </w:r>
            <w:r>
              <w:rPr>
                <w:rFonts w:ascii="Arial" w:hAnsi="Arial" w:cs="Arial"/>
                <w:sz w:val="20"/>
                <w:szCs w:val="20"/>
              </w:rPr>
              <w:t xml:space="preserve">d. We covered travel costs for three individuals, from three different States, </w:t>
            </w:r>
            <w:r w:rsidR="008B799B">
              <w:rPr>
                <w:rFonts w:ascii="Arial" w:hAnsi="Arial" w:cs="Arial"/>
                <w:sz w:val="20"/>
                <w:szCs w:val="20"/>
              </w:rPr>
              <w:t>(</w:t>
            </w:r>
            <w:r>
              <w:rPr>
                <w:rFonts w:ascii="Arial" w:hAnsi="Arial" w:cs="Arial"/>
                <w:sz w:val="20"/>
                <w:szCs w:val="20"/>
              </w:rPr>
              <w:t xml:space="preserve"> would not have been able</w:t>
            </w:r>
          </w:p>
          <w:p w:rsidR="00C1457E" w:rsidRDefault="00C1457E"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join us otherwise</w:t>
            </w:r>
            <w:r w:rsidR="008B799B">
              <w:rPr>
                <w:rFonts w:ascii="Arial" w:hAnsi="Arial" w:cs="Arial"/>
                <w:sz w:val="20"/>
                <w:szCs w:val="20"/>
              </w:rPr>
              <w:t>)</w:t>
            </w:r>
            <w:r>
              <w:rPr>
                <w:rFonts w:ascii="Arial" w:hAnsi="Arial" w:cs="Arial"/>
                <w:sz w:val="20"/>
                <w:szCs w:val="20"/>
              </w:rPr>
              <w:t xml:space="preserve">.  At this workshop each State </w:t>
            </w:r>
            <w:r w:rsidR="008B799B">
              <w:rPr>
                <w:rFonts w:ascii="Arial" w:hAnsi="Arial" w:cs="Arial"/>
                <w:sz w:val="20"/>
                <w:szCs w:val="20"/>
              </w:rPr>
              <w:t>Representative</w:t>
            </w:r>
            <w:r>
              <w:rPr>
                <w:rFonts w:ascii="Arial" w:hAnsi="Arial" w:cs="Arial"/>
                <w:sz w:val="20"/>
                <w:szCs w:val="20"/>
              </w:rPr>
              <w:t xml:space="preserve"> shared innovations and challenge </w:t>
            </w:r>
            <w:r w:rsidR="008B799B">
              <w:rPr>
                <w:rFonts w:ascii="Arial" w:hAnsi="Arial" w:cs="Arial"/>
                <w:sz w:val="20"/>
                <w:szCs w:val="20"/>
              </w:rPr>
              <w:t>in their s</w:t>
            </w:r>
            <w:r>
              <w:rPr>
                <w:rFonts w:ascii="Arial" w:hAnsi="Arial" w:cs="Arial"/>
                <w:sz w:val="20"/>
                <w:szCs w:val="20"/>
              </w:rPr>
              <w:t xml:space="preserve">tate. </w:t>
            </w:r>
          </w:p>
          <w:p w:rsidR="008B799B" w:rsidRDefault="008B799B" w:rsidP="00551D8A">
            <w:pPr>
              <w:ind w:right="-720"/>
              <w:rPr>
                <w:rFonts w:ascii="Arial" w:hAnsi="Arial" w:cs="Arial"/>
                <w:sz w:val="20"/>
                <w:szCs w:val="20"/>
              </w:rPr>
            </w:pPr>
            <w:r>
              <w:rPr>
                <w:rFonts w:ascii="Arial" w:hAnsi="Arial" w:cs="Arial"/>
                <w:sz w:val="20"/>
                <w:szCs w:val="20"/>
              </w:rPr>
              <w:t>A number of p</w:t>
            </w:r>
            <w:r w:rsidR="00C1457E">
              <w:rPr>
                <w:rFonts w:ascii="Arial" w:hAnsi="Arial" w:cs="Arial"/>
                <w:sz w:val="20"/>
                <w:szCs w:val="20"/>
              </w:rPr>
              <w:t xml:space="preserve">resentations were given </w:t>
            </w:r>
            <w:r>
              <w:rPr>
                <w:rFonts w:ascii="Arial" w:hAnsi="Arial" w:cs="Arial"/>
                <w:sz w:val="20"/>
                <w:szCs w:val="20"/>
              </w:rPr>
              <w:t>in the following areas:</w:t>
            </w:r>
            <w:r w:rsidR="00C1457E">
              <w:rPr>
                <w:rFonts w:ascii="Arial" w:hAnsi="Arial" w:cs="Arial"/>
                <w:sz w:val="20"/>
                <w:szCs w:val="20"/>
              </w:rPr>
              <w:t xml:space="preserve"> Workforce Development, Winter Maintenance, </w:t>
            </w:r>
          </w:p>
          <w:p w:rsidR="00C1457E" w:rsidRDefault="00C1457E" w:rsidP="00551D8A">
            <w:pPr>
              <w:ind w:right="-720"/>
              <w:rPr>
                <w:rFonts w:ascii="Arial" w:hAnsi="Arial" w:cs="Arial"/>
                <w:sz w:val="20"/>
                <w:szCs w:val="20"/>
              </w:rPr>
            </w:pPr>
            <w:r>
              <w:rPr>
                <w:rFonts w:ascii="Arial" w:hAnsi="Arial" w:cs="Arial"/>
                <w:sz w:val="20"/>
                <w:szCs w:val="20"/>
              </w:rPr>
              <w:t>Environmental Best Practices and</w:t>
            </w:r>
            <w:r w:rsidR="008B799B">
              <w:rPr>
                <w:rFonts w:ascii="Arial" w:hAnsi="Arial" w:cs="Arial"/>
                <w:sz w:val="20"/>
                <w:szCs w:val="20"/>
              </w:rPr>
              <w:t xml:space="preserve"> </w:t>
            </w:r>
            <w:r>
              <w:rPr>
                <w:rFonts w:ascii="Arial" w:hAnsi="Arial" w:cs="Arial"/>
                <w:sz w:val="20"/>
                <w:szCs w:val="20"/>
              </w:rPr>
              <w:t xml:space="preserve">Maintenance Management.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C1457E" w:rsidP="00C1457E">
            <w:pPr>
              <w:ind w:right="-720"/>
              <w:rPr>
                <w:rFonts w:ascii="Arial" w:hAnsi="Arial" w:cs="Arial"/>
                <w:sz w:val="20"/>
                <w:szCs w:val="20"/>
              </w:rPr>
            </w:pPr>
            <w:r>
              <w:rPr>
                <w:rFonts w:ascii="Arial" w:hAnsi="Arial" w:cs="Arial"/>
                <w:sz w:val="20"/>
                <w:szCs w:val="20"/>
              </w:rPr>
              <w:t xml:space="preserve">We will meet </w:t>
            </w:r>
            <w:r w:rsidR="00B475E9">
              <w:rPr>
                <w:rFonts w:ascii="Arial" w:hAnsi="Arial" w:cs="Arial"/>
                <w:sz w:val="20"/>
                <w:szCs w:val="20"/>
              </w:rPr>
              <w:t xml:space="preserve">12-15 </w:t>
            </w:r>
            <w:r>
              <w:rPr>
                <w:rFonts w:ascii="Arial" w:hAnsi="Arial" w:cs="Arial"/>
                <w:sz w:val="20"/>
                <w:szCs w:val="20"/>
              </w:rPr>
              <w:t>September</w:t>
            </w:r>
            <w:r w:rsidR="00B475E9">
              <w:rPr>
                <w:rFonts w:ascii="Arial" w:hAnsi="Arial" w:cs="Arial"/>
                <w:sz w:val="20"/>
                <w:szCs w:val="20"/>
              </w:rPr>
              <w:t xml:space="preserve"> 2011,</w:t>
            </w:r>
            <w:r>
              <w:rPr>
                <w:rFonts w:ascii="Arial" w:hAnsi="Arial" w:cs="Arial"/>
                <w:sz w:val="20"/>
                <w:szCs w:val="20"/>
              </w:rPr>
              <w:t xml:space="preserve"> for a scan tour provide by the State of Oregon.</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B475E9" w:rsidRDefault="00B475E9" w:rsidP="00551D8A">
            <w:pPr>
              <w:ind w:right="-720"/>
              <w:rPr>
                <w:rFonts w:ascii="Arial" w:hAnsi="Arial" w:cs="Arial"/>
                <w:sz w:val="20"/>
                <w:szCs w:val="20"/>
              </w:rPr>
            </w:pPr>
            <w:r w:rsidRPr="00B475E9">
              <w:rPr>
                <w:rFonts w:ascii="Arial" w:hAnsi="Arial" w:cs="Arial"/>
                <w:sz w:val="20"/>
                <w:szCs w:val="20"/>
              </w:rPr>
              <w:t>The program is working very well and should be able to go on indefinitely.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7BA" w:rsidRDefault="00A017BA" w:rsidP="00106C83">
      <w:pPr>
        <w:spacing w:after="0" w:line="240" w:lineRule="auto"/>
      </w:pPr>
      <w:r>
        <w:separator/>
      </w:r>
    </w:p>
  </w:endnote>
  <w:endnote w:type="continuationSeparator" w:id="0">
    <w:p w:rsidR="00A017BA" w:rsidRDefault="00A017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7BA" w:rsidRDefault="00A017BA" w:rsidP="00106C83">
      <w:pPr>
        <w:spacing w:after="0" w:line="240" w:lineRule="auto"/>
      </w:pPr>
      <w:r>
        <w:separator/>
      </w:r>
    </w:p>
  </w:footnote>
  <w:footnote w:type="continuationSeparator" w:id="0">
    <w:p w:rsidR="00A017BA" w:rsidRDefault="00A017B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551D8A"/>
    <w:rsid w:val="00001B59"/>
    <w:rsid w:val="00037FBC"/>
    <w:rsid w:val="000736BB"/>
    <w:rsid w:val="00094A20"/>
    <w:rsid w:val="000B665A"/>
    <w:rsid w:val="00106C83"/>
    <w:rsid w:val="001547D0"/>
    <w:rsid w:val="00161153"/>
    <w:rsid w:val="0018433C"/>
    <w:rsid w:val="001F2B6D"/>
    <w:rsid w:val="0021446D"/>
    <w:rsid w:val="00293FD8"/>
    <w:rsid w:val="002A79C8"/>
    <w:rsid w:val="0034289A"/>
    <w:rsid w:val="0038705A"/>
    <w:rsid w:val="004144E6"/>
    <w:rsid w:val="004156B2"/>
    <w:rsid w:val="00437734"/>
    <w:rsid w:val="004E14DC"/>
    <w:rsid w:val="00535598"/>
    <w:rsid w:val="00547EE3"/>
    <w:rsid w:val="00551D8A"/>
    <w:rsid w:val="00581B36"/>
    <w:rsid w:val="00583E8E"/>
    <w:rsid w:val="00601EBD"/>
    <w:rsid w:val="00682C5E"/>
    <w:rsid w:val="00743C01"/>
    <w:rsid w:val="00790C4A"/>
    <w:rsid w:val="007E5BD2"/>
    <w:rsid w:val="00872F18"/>
    <w:rsid w:val="00874EF7"/>
    <w:rsid w:val="008B799B"/>
    <w:rsid w:val="008F5A12"/>
    <w:rsid w:val="00A017BA"/>
    <w:rsid w:val="00A43875"/>
    <w:rsid w:val="00A63677"/>
    <w:rsid w:val="00AE46B0"/>
    <w:rsid w:val="00AE5E2D"/>
    <w:rsid w:val="00B2185C"/>
    <w:rsid w:val="00B475E9"/>
    <w:rsid w:val="00B66A21"/>
    <w:rsid w:val="00C13753"/>
    <w:rsid w:val="00C1457E"/>
    <w:rsid w:val="00D74CFF"/>
    <w:rsid w:val="00DB489E"/>
    <w:rsid w:val="00DE34A5"/>
    <w:rsid w:val="00E35E0F"/>
    <w:rsid w:val="00E371D1"/>
    <w:rsid w:val="00E53738"/>
    <w:rsid w:val="00ED5F67"/>
    <w:rsid w:val="00EF08AE"/>
    <w:rsid w:val="00EF5790"/>
    <w:rsid w:val="00F44E10"/>
    <w:rsid w:val="00F7183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2DD4-BAAD-4A16-9647-AC02FD84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Daniel Hsiao</cp:lastModifiedBy>
  <cp:revision>2</cp:revision>
  <cp:lastPrinted>2011-06-21T20:32:00Z</cp:lastPrinted>
  <dcterms:created xsi:type="dcterms:W3CDTF">2011-08-24T10:47:00Z</dcterms:created>
  <dcterms:modified xsi:type="dcterms:W3CDTF">2011-08-24T10:47:00Z</dcterms:modified>
</cp:coreProperties>
</file>