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w:t>
            </w:r>
            <w:r w:rsidR="00581B36" w:rsidRPr="005F7F3E">
              <w:rPr>
                <w:rFonts w:ascii="Arial" w:hAnsi="Arial" w:cs="Arial"/>
                <w:sz w:val="24"/>
                <w:szCs w:val="24"/>
              </w:rPr>
              <w:t>Quarter 4 (October 1</w:t>
            </w:r>
            <w:r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 On schedule</w:t>
      </w:r>
      <w:r w:rsidRPr="005F7F3E">
        <w:rPr>
          <w:rFonts w:ascii="Arial" w:hAnsi="Arial" w:cs="Arial"/>
          <w:sz w:val="24"/>
          <w:szCs w:val="24"/>
        </w:rPr>
        <w:tab/>
        <w:t>□ On revised schedule</w:t>
      </w:r>
      <w:r w:rsidRPr="005F7F3E">
        <w:rPr>
          <w:rFonts w:ascii="Arial" w:hAnsi="Arial" w:cs="Arial"/>
          <w:sz w:val="24"/>
          <w:szCs w:val="24"/>
        </w:rPr>
        <w:tab/>
      </w:r>
      <w:r w:rsidRPr="005F7F3E">
        <w:rPr>
          <w:rFonts w:ascii="Arial" w:hAnsi="Arial" w:cs="Arial"/>
          <w:sz w:val="24"/>
          <w:szCs w:val="24"/>
        </w:rPr>
        <w:tab/>
        <w:t>□ Ahead of schedule</w:t>
      </w:r>
      <w:r w:rsidRPr="005F7F3E">
        <w:rPr>
          <w:rFonts w:ascii="Arial" w:hAnsi="Arial" w:cs="Arial"/>
          <w:sz w:val="24"/>
          <w:szCs w:val="24"/>
        </w:rPr>
        <w:tab/>
      </w:r>
      <w:r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6EC1940E" w:rsidR="00874EF7" w:rsidRPr="005F7F3E" w:rsidRDefault="00B71E68" w:rsidP="00551D8A">
            <w:pPr>
              <w:ind w:right="-720"/>
              <w:rPr>
                <w:rFonts w:ascii="Arial" w:hAnsi="Arial" w:cs="Arial"/>
                <w:sz w:val="24"/>
                <w:szCs w:val="24"/>
              </w:rPr>
            </w:pPr>
            <w:r>
              <w:rPr>
                <w:color w:val="212121"/>
                <w:shd w:val="clear" w:color="auto" w:fill="FFFFFF"/>
              </w:rPr>
              <w:t>$</w:t>
            </w:r>
            <w:r w:rsidR="00045A26">
              <w:rPr>
                <w:color w:val="212121"/>
                <w:shd w:val="clear" w:color="auto" w:fill="FFFFFF"/>
              </w:rPr>
              <w:t>22</w:t>
            </w:r>
            <w:r>
              <w:rPr>
                <w:color w:val="212121"/>
                <w:shd w:val="clear" w:color="auto" w:fill="FFFFFF"/>
              </w:rPr>
              <w:t>2,1</w:t>
            </w:r>
            <w:r w:rsidR="00045A26">
              <w:rPr>
                <w:color w:val="212121"/>
                <w:shd w:val="clear" w:color="auto" w:fill="FFFFFF"/>
              </w:rPr>
              <w:t>6</w:t>
            </w:r>
            <w:r>
              <w:rPr>
                <w:color w:val="212121"/>
                <w:shd w:val="clear" w:color="auto" w:fill="FFFFFF"/>
              </w:rPr>
              <w:t>4.21</w:t>
            </w:r>
          </w:p>
        </w:tc>
        <w:tc>
          <w:tcPr>
            <w:tcW w:w="3420" w:type="dxa"/>
          </w:tcPr>
          <w:p w14:paraId="0D63D8C2" w14:textId="16854E64" w:rsidR="00874EF7" w:rsidRPr="005F7F3E" w:rsidRDefault="00B71E68" w:rsidP="00551D8A">
            <w:pPr>
              <w:ind w:right="-720"/>
              <w:rPr>
                <w:rFonts w:ascii="Arial" w:hAnsi="Arial" w:cs="Arial"/>
                <w:sz w:val="24"/>
                <w:szCs w:val="24"/>
              </w:rPr>
            </w:pPr>
            <w:r>
              <w:rPr>
                <w:rFonts w:ascii="Arial" w:hAnsi="Arial" w:cs="Arial"/>
                <w:sz w:val="24"/>
                <w:szCs w:val="24"/>
              </w:rPr>
              <w:t>1</w:t>
            </w:r>
            <w:r w:rsidR="00045A26">
              <w:rPr>
                <w:rFonts w:ascii="Arial" w:hAnsi="Arial" w:cs="Arial"/>
                <w:sz w:val="24"/>
                <w:szCs w:val="24"/>
              </w:rPr>
              <w:t>8</w:t>
            </w:r>
            <w:r>
              <w:rPr>
                <w:rFonts w:ascii="Arial" w:hAnsi="Arial" w:cs="Arial"/>
                <w:sz w:val="24"/>
                <w:szCs w:val="24"/>
              </w:rPr>
              <w:t>%</w:t>
            </w: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lastRenderedPageBreak/>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0CD446F1" w14:textId="5C29C0F5" w:rsidR="00894CA0"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2EF5D988" w14:textId="77777777" w:rsidR="00BF2ECA" w:rsidRDefault="00BF2ECA" w:rsidP="00BF2ECA">
            <w:pPr>
              <w:pStyle w:val="NormalWeb"/>
            </w:pPr>
            <w:r>
              <w:t>This quarter, we continued advancing the goals of the Public-Private Transportation Data Exchange Center, with an emphasis on understanding OEM market dynamics, deploying advanced analytics infrastructure, and operationalizing real-time data pipelines for DOT use.</w:t>
            </w:r>
          </w:p>
          <w:p w14:paraId="28A6FD37" w14:textId="77777777" w:rsidR="00BF2ECA" w:rsidRDefault="00BF2ECA" w:rsidP="00BF2ECA">
            <w:pPr>
              <w:pStyle w:val="NormalWeb"/>
            </w:pPr>
            <w:r>
              <w:t xml:space="preserve">• </w:t>
            </w:r>
            <w:r>
              <w:rPr>
                <w:rStyle w:val="Strong"/>
              </w:rPr>
              <w:t>OEM Engagement:</w:t>
            </w:r>
            <w:r>
              <w:t xml:space="preserve"> Engagement with OEMs, including Stellantis, continued during the quarter. Through these discussions, it became clear that OEMs currently do not view direct data sales to DOTs as financially viable, instead prioritizing distribution through third-party aggregators. This insight provides important guidance for shaping future data acquisition and partnership strategies.</w:t>
            </w:r>
          </w:p>
          <w:p w14:paraId="294CF369" w14:textId="77777777" w:rsidR="00BF2ECA" w:rsidRDefault="00BF2ECA" w:rsidP="00BF2ECA">
            <w:pPr>
              <w:pStyle w:val="NormalWeb"/>
            </w:pPr>
            <w:r>
              <w:t xml:space="preserve">• </w:t>
            </w:r>
            <w:r>
              <w:rPr>
                <w:rStyle w:val="Strong"/>
              </w:rPr>
              <w:t>Data Exploration and Analytics Platform:</w:t>
            </w:r>
            <w:r>
              <w:t xml:space="preserve"> The team developed and deployed a GPU-enabled, generative AI–powered data exploration platform that enables rapid analysis of connected vehicle data using natural language queries. The platform was deployed for member review, and two Zoom meetings were held to evaluate functionality, gather feedback, and discuss next steps.</w:t>
            </w:r>
          </w:p>
          <w:p w14:paraId="0822C11D" w14:textId="77777777" w:rsidR="00BF2ECA" w:rsidRDefault="00BF2ECA" w:rsidP="00BF2ECA">
            <w:pPr>
              <w:pStyle w:val="NormalWeb"/>
            </w:pPr>
            <w:r>
              <w:t xml:space="preserve">• </w:t>
            </w:r>
            <w:r>
              <w:rPr>
                <w:rStyle w:val="Strong"/>
              </w:rPr>
              <w:t>Data Conflation Infrastructure:</w:t>
            </w:r>
            <w:r>
              <w:t xml:space="preserve"> We designed the architecture for a GPU-accelerated data conflation framework that enables fast integration of connected vehicle data with DOT datasets such as crash and weather data. This framework has already supported efficient conflation of third-party datasets, significantly improving analytical performance and scalability.</w:t>
            </w:r>
          </w:p>
          <w:p w14:paraId="38573154" w14:textId="77777777" w:rsidR="00BF2ECA" w:rsidRDefault="00BF2ECA" w:rsidP="00BF2ECA">
            <w:pPr>
              <w:pStyle w:val="NormalWeb"/>
            </w:pPr>
            <w:r>
              <w:t xml:space="preserve">• </w:t>
            </w:r>
            <w:r>
              <w:rPr>
                <w:rStyle w:val="Strong"/>
              </w:rPr>
              <w:t>New Jersey DOT Pilot:</w:t>
            </w:r>
            <w:r>
              <w:t xml:space="preserve"> Real-time friction data from third-party providers is now being pushed directly to the New Jersey Department of Transportation for integration into winter management pipelines. A dedicated API was developed to enable secure, real-time data delivery. Evaluation of the data’s impact on winter maintenance and operational decision-making is planned for the next quarter.</w:t>
            </w:r>
          </w:p>
          <w:p w14:paraId="040C3B69" w14:textId="77777777" w:rsidR="00BF2ECA" w:rsidRDefault="00BF2ECA" w:rsidP="00BF2ECA">
            <w:pPr>
              <w:pStyle w:val="NormalWeb"/>
            </w:pPr>
            <w:r>
              <w:rPr>
                <w:rStyle w:val="Strong"/>
              </w:rPr>
              <w:t>Overall Progress:</w:t>
            </w:r>
            <w:r>
              <w:t xml:space="preserve"> This quarter delivered major technical and operational advancements, including deployment of AI-enabled analytics tools and real-time data pipelines. While direct OEM-to-DOT data models </w:t>
            </w:r>
            <w:r>
              <w:lastRenderedPageBreak/>
              <w:t>remain constrained, the team significantly strengthened its technical foundation and positioned the Center to effectively leverage third-party data partnerships at scale.</w:t>
            </w:r>
          </w:p>
          <w:p w14:paraId="37EB5855" w14:textId="32474F4E" w:rsidR="005F7F3E" w:rsidRPr="005F7F3E" w:rsidRDefault="005F7F3E" w:rsidP="00BF2ECA">
            <w:pPr>
              <w:pStyle w:val="NormalWeb"/>
              <w:ind w:left="360"/>
              <w:rPr>
                <w:rFonts w:ascii="Arial" w:hAnsi="Arial" w:cs="Arial"/>
              </w:rPr>
            </w:pP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5115670E" w14:textId="77777777" w:rsidR="00045A26" w:rsidRDefault="00045A26" w:rsidP="00045A26">
            <w:pPr>
              <w:pStyle w:val="NormalWeb"/>
            </w:pPr>
            <w:r>
              <w:t>In the upcoming quarter, we will continue advancing the mission of the Public-Private Transportation Data Exchange Center, with a focus on deepening OEM engagement, enhancing analytics capabilities, and evaluating the operational impact of deployed data pilots.</w:t>
            </w:r>
          </w:p>
          <w:p w14:paraId="3D1F64E5" w14:textId="77777777" w:rsidR="00045A26" w:rsidRDefault="00045A26" w:rsidP="00045A26">
            <w:pPr>
              <w:pStyle w:val="NormalWeb"/>
            </w:pPr>
            <w:r>
              <w:t xml:space="preserve">• </w:t>
            </w:r>
            <w:r>
              <w:rPr>
                <w:rStyle w:val="Strong"/>
              </w:rPr>
              <w:t>OEM Engagement:</w:t>
            </w:r>
            <w:r>
              <w:t xml:space="preserve"> We will continue engaging with OEMs and data providers to monitor evolving data-sharing models and identify viable pathways for accessing connected vehicle data that can support DOT needs, with particular attention to third-party aggregation strategies.</w:t>
            </w:r>
          </w:p>
          <w:p w14:paraId="786E72BD" w14:textId="77777777" w:rsidR="00045A26" w:rsidRDefault="00045A26" w:rsidP="00045A26">
            <w:pPr>
              <w:pStyle w:val="NormalWeb"/>
            </w:pPr>
            <w:r>
              <w:t xml:space="preserve">• </w:t>
            </w:r>
            <w:r>
              <w:rPr>
                <w:rStyle w:val="Strong"/>
              </w:rPr>
              <w:t>Generative AI Analytics Platform:</w:t>
            </w:r>
            <w:r>
              <w:t xml:space="preserve"> We will further enhance the GPU-enabled, generative AI–powered analytics platform by improving performance, usability, and analytical capabilities based on member feedback, enabling faster and more intuitive exploration of large-scale connected vehicle datasets.</w:t>
            </w:r>
          </w:p>
          <w:p w14:paraId="4034BCCA" w14:textId="77777777" w:rsidR="00045A26" w:rsidRDefault="00045A26" w:rsidP="00045A26">
            <w:pPr>
              <w:pStyle w:val="NormalWeb"/>
            </w:pPr>
            <w:r>
              <w:t xml:space="preserve">• </w:t>
            </w:r>
            <w:r>
              <w:rPr>
                <w:rStyle w:val="Strong"/>
              </w:rPr>
              <w:t>New Jersey DOT Friction Data Evaluation:</w:t>
            </w:r>
            <w:r>
              <w:t xml:space="preserve"> We will evaluate the impact of the real-time friction data pilot with the New Jersey Department of Transportation, assessing its effectiveness in supporting winter maintenance operations and informing future deployment and scaling decisions.</w:t>
            </w:r>
          </w:p>
          <w:p w14:paraId="423B5C3D" w14:textId="77777777" w:rsidR="00045A26" w:rsidRDefault="00045A26" w:rsidP="00045A26">
            <w:pPr>
              <w:pStyle w:val="NormalWeb"/>
            </w:pPr>
            <w:r>
              <w:rPr>
                <w:rStyle w:val="Strong"/>
              </w:rPr>
              <w:t>Anticipated Progress:</w:t>
            </w:r>
            <w:r>
              <w:t xml:space="preserve"> These efforts will focus on refining partnerships, strengthening technical capabilities, and validating the real-world value of connected vehicle data to support safer and more efficient transportation operations.</w:t>
            </w:r>
          </w:p>
          <w:p w14:paraId="22A6FCE0" w14:textId="1F10520C" w:rsidR="00601EBD" w:rsidRPr="00C050B1" w:rsidRDefault="00601EBD" w:rsidP="00C07B29">
            <w:pPr>
              <w:pStyle w:val="NormalWeb"/>
            </w:pP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69CF7002" w14:textId="77777777" w:rsidR="00045A26" w:rsidRDefault="00045A26" w:rsidP="00045A26">
            <w:pPr>
              <w:pStyle w:val="NormalWeb"/>
            </w:pPr>
            <w:r>
              <w:t>This quarter, the pooled fund study achieved significant progress in deploying advanced analytics infrastructure, operationalizing real-time data pipelines, and clarifying OEM engagement pathways to support the Public-Private Transportation Data Exchange Center.</w:t>
            </w:r>
          </w:p>
          <w:p w14:paraId="5608F788" w14:textId="77777777" w:rsidR="00045A26" w:rsidRDefault="00045A26" w:rsidP="00045A26">
            <w:pPr>
              <w:pStyle w:val="NormalWeb"/>
              <w:numPr>
                <w:ilvl w:val="0"/>
                <w:numId w:val="8"/>
              </w:numPr>
            </w:pPr>
            <w:r>
              <w:rPr>
                <w:rStyle w:val="Strong"/>
              </w:rPr>
              <w:t>Advanced Analytics Platform Deployed:</w:t>
            </w:r>
            <w:r>
              <w:t xml:space="preserve"> A GPU-enabled, generative AI–powered analytics platform was developed and deployed for member review, enabling rapid exploration and analysis of connected vehicle data using natural language queries. This represents a major advancement in the Center’s ability to support scalable, high-performance data analysis.</w:t>
            </w:r>
          </w:p>
          <w:p w14:paraId="310D1172" w14:textId="77777777" w:rsidR="00045A26" w:rsidRDefault="00045A26" w:rsidP="00045A26">
            <w:pPr>
              <w:pStyle w:val="NormalWeb"/>
              <w:numPr>
                <w:ilvl w:val="0"/>
                <w:numId w:val="8"/>
              </w:numPr>
            </w:pPr>
            <w:r>
              <w:rPr>
                <w:rStyle w:val="Strong"/>
              </w:rPr>
              <w:t>OEM Engagement Insights Gained:</w:t>
            </w:r>
            <w:r>
              <w:t xml:space="preserve"> Engagement with OEMs, including Stellantis, continued during the quarter. Discussions clarified that OEMs currently prioritize third-party data distribution models over direct data sales to DOTs, providing critical insight that will inform future data acquisition and partnership strategies.</w:t>
            </w:r>
          </w:p>
          <w:p w14:paraId="5D63119D" w14:textId="77777777" w:rsidR="00045A26" w:rsidRDefault="00045A26" w:rsidP="00045A26">
            <w:pPr>
              <w:pStyle w:val="NormalWeb"/>
              <w:numPr>
                <w:ilvl w:val="0"/>
                <w:numId w:val="8"/>
              </w:numPr>
            </w:pPr>
            <w:r>
              <w:rPr>
                <w:rStyle w:val="Strong"/>
              </w:rPr>
              <w:t>GPU-Enabled Data Conflation Framework Designed:</w:t>
            </w:r>
            <w:r>
              <w:t xml:space="preserve"> The architecture for a GPU-accelerated data conflation framework was designed, enabling fast integration of connected vehicle data with DOT datasets such as crash and weather data. This capability has already supported efficient conflation of third-party datasets.</w:t>
            </w:r>
          </w:p>
          <w:p w14:paraId="3CA78DA6" w14:textId="77777777" w:rsidR="00045A26" w:rsidRDefault="00045A26" w:rsidP="00045A26">
            <w:pPr>
              <w:pStyle w:val="NormalWeb"/>
              <w:numPr>
                <w:ilvl w:val="0"/>
                <w:numId w:val="8"/>
              </w:numPr>
            </w:pPr>
            <w:r>
              <w:rPr>
                <w:rStyle w:val="Strong"/>
              </w:rPr>
              <w:lastRenderedPageBreak/>
              <w:t>New Jersey DOT Friction Data Operationalized:</w:t>
            </w:r>
            <w:r>
              <w:t xml:space="preserve"> Real-time friction and road surface condition data is now being delivered to the New Jersey Department of Transportation via a newly developed API for integration into winter management pipelines. This operational deployment positions the team to evaluate the data’s impact on winter maintenance decision-making in the upcoming quarter.</w:t>
            </w:r>
          </w:p>
          <w:p w14:paraId="17B8E127" w14:textId="77777777" w:rsidR="009A1DB0" w:rsidRDefault="009A1DB0" w:rsidP="00045A26">
            <w:pPr>
              <w:pStyle w:val="NormalWeb"/>
              <w:numPr>
                <w:ilvl w:val="0"/>
                <w:numId w:val="8"/>
              </w:numPr>
            </w:pPr>
            <w:r>
              <w:rPr>
                <w:rStyle w:val="Strong"/>
              </w:rPr>
              <w:t>New Jersey DOT Pilot Preparation:</w:t>
            </w:r>
            <w:r>
              <w:t xml:space="preserve"> Planning began for a </w:t>
            </w:r>
            <w:r w:rsidRPr="009A1DB0">
              <w:rPr>
                <w:rStyle w:val="Strong"/>
                <w:b w:val="0"/>
                <w:bCs w:val="0"/>
              </w:rPr>
              <w:t>pilot with the New Jersey Department of Transportation</w:t>
            </w:r>
            <w:r w:rsidRPr="009A1DB0">
              <w:rPr>
                <w:b/>
                <w:bCs/>
              </w:rPr>
              <w:t xml:space="preserve">, </w:t>
            </w:r>
            <w:r w:rsidRPr="009A1DB0">
              <w:t>using</w:t>
            </w:r>
            <w:r w:rsidRPr="009A1DB0">
              <w:rPr>
                <w:b/>
                <w:bCs/>
              </w:rPr>
              <w:t xml:space="preserve"> </w:t>
            </w:r>
            <w:r w:rsidRPr="009A1DB0">
              <w:rPr>
                <w:rStyle w:val="Strong"/>
                <w:b w:val="0"/>
                <w:bCs w:val="0"/>
              </w:rPr>
              <w:t>friction and road surface condition data from NIRA Dynamics</w:t>
            </w:r>
            <w:r w:rsidRPr="009A1DB0">
              <w:rPr>
                <w:b/>
                <w:bCs/>
              </w:rPr>
              <w:t xml:space="preserve"> </w:t>
            </w:r>
            <w:r>
              <w:t>to support roadway safety monitoring and winter maintenance operations.</w:t>
            </w:r>
          </w:p>
          <w:p w14:paraId="0A4C50F0" w14:textId="77777777" w:rsidR="00601EBD" w:rsidRPr="005F7F3E" w:rsidRDefault="00601EBD" w:rsidP="009A1DB0">
            <w:pPr>
              <w:pStyle w:val="NormalWeb"/>
              <w:rPr>
                <w:rFonts w:ascii="Arial" w:hAnsi="Arial" w:cs="Arial"/>
                <w:b/>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0B924A8C"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 xml:space="preserve">Circumstance affecting project or budget.  (Please describe any challenges encountered or anticipated that </w:t>
            </w:r>
          </w:p>
          <w:p w14:paraId="064286D3"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 xml:space="preserve">set forth in the </w:t>
            </w:r>
          </w:p>
          <w:p w14:paraId="413AF557"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4626F1D1" w14:textId="23E1F427" w:rsidR="00601EBD" w:rsidRPr="005F7F3E" w:rsidRDefault="00C050B1" w:rsidP="00C050B1">
            <w:pPr>
              <w:ind w:right="-720"/>
              <w:rPr>
                <w:rFonts w:ascii="Arial" w:hAnsi="Arial" w:cs="Arial"/>
                <w:b/>
                <w:sz w:val="24"/>
                <w:szCs w:val="24"/>
              </w:rPr>
            </w:pPr>
            <w:r>
              <w:rPr>
                <w:rFonts w:ascii="Arial" w:eastAsia="Times New Roman" w:hAnsi="Arial" w:cs="Arial"/>
                <w:sz w:val="24"/>
                <w:szCs w:val="24"/>
              </w:rPr>
              <w:t>N/A</w:t>
            </w: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656D" w14:textId="77777777" w:rsidR="000A1FD7" w:rsidRDefault="000A1FD7" w:rsidP="00106C83">
      <w:pPr>
        <w:spacing w:after="0" w:line="240" w:lineRule="auto"/>
      </w:pPr>
      <w:r>
        <w:separator/>
      </w:r>
    </w:p>
  </w:endnote>
  <w:endnote w:type="continuationSeparator" w:id="0">
    <w:p w14:paraId="4D3163F2" w14:textId="77777777" w:rsidR="000A1FD7" w:rsidRDefault="000A1FD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B6B5" w14:textId="77777777" w:rsidR="000A1FD7" w:rsidRDefault="000A1FD7" w:rsidP="00106C83">
      <w:pPr>
        <w:spacing w:after="0" w:line="240" w:lineRule="auto"/>
      </w:pPr>
      <w:r>
        <w:separator/>
      </w:r>
    </w:p>
  </w:footnote>
  <w:footnote w:type="continuationSeparator" w:id="0">
    <w:p w14:paraId="1A419170" w14:textId="77777777" w:rsidR="000A1FD7" w:rsidRDefault="000A1FD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60EC9"/>
    <w:multiLevelType w:val="multilevel"/>
    <w:tmpl w:val="AC1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71C0D"/>
    <w:multiLevelType w:val="multilevel"/>
    <w:tmpl w:val="CDA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E6F39"/>
    <w:multiLevelType w:val="multilevel"/>
    <w:tmpl w:val="395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E5AD1"/>
    <w:multiLevelType w:val="multilevel"/>
    <w:tmpl w:val="8AC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33F6C"/>
    <w:multiLevelType w:val="multilevel"/>
    <w:tmpl w:val="C3A8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E74DF"/>
    <w:multiLevelType w:val="multilevel"/>
    <w:tmpl w:val="A90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87236">
    <w:abstractNumId w:val="4"/>
  </w:num>
  <w:num w:numId="2" w16cid:durableId="2080901071">
    <w:abstractNumId w:val="6"/>
  </w:num>
  <w:num w:numId="3" w16cid:durableId="1852378270">
    <w:abstractNumId w:val="5"/>
  </w:num>
  <w:num w:numId="4" w16cid:durableId="1882553938">
    <w:abstractNumId w:val="0"/>
  </w:num>
  <w:num w:numId="5" w16cid:durableId="1408650565">
    <w:abstractNumId w:val="1"/>
  </w:num>
  <w:num w:numId="6" w16cid:durableId="1018778057">
    <w:abstractNumId w:val="2"/>
  </w:num>
  <w:num w:numId="7" w16cid:durableId="1569729921">
    <w:abstractNumId w:val="3"/>
  </w:num>
  <w:num w:numId="8" w16cid:durableId="2066829481">
    <w:abstractNumId w:val="8"/>
  </w:num>
  <w:num w:numId="9" w16cid:durableId="1216358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45A26"/>
    <w:rsid w:val="00067B58"/>
    <w:rsid w:val="000736BB"/>
    <w:rsid w:val="000A1FD7"/>
    <w:rsid w:val="000B665A"/>
    <w:rsid w:val="000E7871"/>
    <w:rsid w:val="00106C83"/>
    <w:rsid w:val="001547D0"/>
    <w:rsid w:val="00161153"/>
    <w:rsid w:val="001B7444"/>
    <w:rsid w:val="001D35CE"/>
    <w:rsid w:val="001F50EC"/>
    <w:rsid w:val="0021446D"/>
    <w:rsid w:val="002720BF"/>
    <w:rsid w:val="00293FD8"/>
    <w:rsid w:val="002A79C8"/>
    <w:rsid w:val="00310C7C"/>
    <w:rsid w:val="003450F1"/>
    <w:rsid w:val="0038705A"/>
    <w:rsid w:val="003B4A66"/>
    <w:rsid w:val="004144E6"/>
    <w:rsid w:val="004156B2"/>
    <w:rsid w:val="00437734"/>
    <w:rsid w:val="0046750D"/>
    <w:rsid w:val="004E14DC"/>
    <w:rsid w:val="00535598"/>
    <w:rsid w:val="00547EE3"/>
    <w:rsid w:val="00551D8A"/>
    <w:rsid w:val="005624C2"/>
    <w:rsid w:val="00581B36"/>
    <w:rsid w:val="00583E8E"/>
    <w:rsid w:val="005D5792"/>
    <w:rsid w:val="005F7F3E"/>
    <w:rsid w:val="00601EBD"/>
    <w:rsid w:val="0062310D"/>
    <w:rsid w:val="00682C5E"/>
    <w:rsid w:val="006B2B4A"/>
    <w:rsid w:val="006F3970"/>
    <w:rsid w:val="00743C01"/>
    <w:rsid w:val="00790C4A"/>
    <w:rsid w:val="007C4296"/>
    <w:rsid w:val="007E5BD2"/>
    <w:rsid w:val="007F1D64"/>
    <w:rsid w:val="00872F18"/>
    <w:rsid w:val="00874EF7"/>
    <w:rsid w:val="00894CA0"/>
    <w:rsid w:val="008A5DE7"/>
    <w:rsid w:val="008B7736"/>
    <w:rsid w:val="00951408"/>
    <w:rsid w:val="009A1DB0"/>
    <w:rsid w:val="00A43875"/>
    <w:rsid w:val="00A63677"/>
    <w:rsid w:val="00AE46B0"/>
    <w:rsid w:val="00B154D7"/>
    <w:rsid w:val="00B2185C"/>
    <w:rsid w:val="00B242E2"/>
    <w:rsid w:val="00B3284B"/>
    <w:rsid w:val="00B66A21"/>
    <w:rsid w:val="00B71E68"/>
    <w:rsid w:val="00BF2ECA"/>
    <w:rsid w:val="00C050B1"/>
    <w:rsid w:val="00C07B29"/>
    <w:rsid w:val="00C13753"/>
    <w:rsid w:val="00C147E2"/>
    <w:rsid w:val="00C157EF"/>
    <w:rsid w:val="00C51BC0"/>
    <w:rsid w:val="00D05DC0"/>
    <w:rsid w:val="00E03D41"/>
    <w:rsid w:val="00E35E0F"/>
    <w:rsid w:val="00E371D1"/>
    <w:rsid w:val="00E50418"/>
    <w:rsid w:val="00E53738"/>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 w:type="character" w:styleId="Emphasis">
    <w:name w:val="Emphasis"/>
    <w:basedOn w:val="DefaultParagraphFont"/>
    <w:uiPriority w:val="20"/>
    <w:qFormat/>
    <w:rsid w:val="009A1D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078">
      <w:bodyDiv w:val="1"/>
      <w:marLeft w:val="0"/>
      <w:marRight w:val="0"/>
      <w:marTop w:val="0"/>
      <w:marBottom w:val="0"/>
      <w:divBdr>
        <w:top w:val="none" w:sz="0" w:space="0" w:color="auto"/>
        <w:left w:val="none" w:sz="0" w:space="0" w:color="auto"/>
        <w:bottom w:val="none" w:sz="0" w:space="0" w:color="auto"/>
        <w:right w:val="none" w:sz="0" w:space="0" w:color="auto"/>
      </w:divBdr>
    </w:div>
    <w:div w:id="418067747">
      <w:bodyDiv w:val="1"/>
      <w:marLeft w:val="0"/>
      <w:marRight w:val="0"/>
      <w:marTop w:val="0"/>
      <w:marBottom w:val="0"/>
      <w:divBdr>
        <w:top w:val="none" w:sz="0" w:space="0" w:color="auto"/>
        <w:left w:val="none" w:sz="0" w:space="0" w:color="auto"/>
        <w:bottom w:val="none" w:sz="0" w:space="0" w:color="auto"/>
        <w:right w:val="none" w:sz="0" w:space="0" w:color="auto"/>
      </w:divBdr>
    </w:div>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77563241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7" ma:contentTypeDescription="Create a new document." ma:contentTypeScope="" ma:versionID="c2d0d2c05e6918f661d0b468294d29bb">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93a4b816012236a72e69284328bd1706"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Evaluation"/>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BB"/>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Missouri-St. Louis"/>
              <xsd:enumeration value="University of Oklahoma"/>
              <xsd:enumeration value="USGS"/>
              <xsd:enumeration value="NA"/>
              <xsd:enumeration value="North Carolina A&amp;T State U"/>
              <xsd:enumeration value="Texas Transportation Institute"/>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8F9D61A2-2A04-4465-A44A-9B2DA85EFE73}"/>
</file>

<file path=customXml/itemProps3.xml><?xml version="1.0" encoding="utf-8"?>
<ds:datastoreItem xmlns:ds="http://schemas.openxmlformats.org/officeDocument/2006/customXml" ds:itemID="{12629312-B259-40F7-B8C6-CB8EB9F10937}"/>
</file>

<file path=customXml/itemProps4.xml><?xml version="1.0" encoding="utf-8"?>
<ds:datastoreItem xmlns:ds="http://schemas.openxmlformats.org/officeDocument/2006/customXml" ds:itemID="{4067227E-D6AB-40AD-8F62-A14A8B02D700}"/>
</file>

<file path=docProps/app.xml><?xml version="1.0" encoding="utf-8"?>
<Properties xmlns="http://schemas.openxmlformats.org/officeDocument/2006/extended-properties" xmlns:vt="http://schemas.openxmlformats.org/officeDocument/2006/docPropsVTypes">
  <Template>Normal.dotm</Template>
  <TotalTime>27</TotalTime>
  <Pages>4</Pages>
  <Words>1212</Words>
  <Characters>7553</Characters>
  <Application>Microsoft Office Word</Application>
  <DocSecurity>0</DocSecurity>
  <Lines>209</Lines>
  <Paragraphs>93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TR202501 Quarterly Report 26_Q1</dc:title>
  <dc:subject/>
  <dc:creator>lisa.williams</dc:creator>
  <cp:keywords/>
  <dc:description/>
  <cp:lastModifiedBy>Adu-Gyamfi, Yaw</cp:lastModifiedBy>
  <cp:revision>9</cp:revision>
  <cp:lastPrinted>2011-06-21T20:32:00Z</cp:lastPrinted>
  <dcterms:created xsi:type="dcterms:W3CDTF">2025-01-02T20:47:00Z</dcterms:created>
  <dcterms:modified xsi:type="dcterms:W3CDTF">2026-01-15T15:55:00Z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3297800</vt:r8>
  </property>
  <property fmtid="{D5CDD505-2E9C-101B-9397-08002B2CF9AE}" pid="4" name="MediaServiceImageTags">
    <vt:lpwstr/>
  </property>
</Properties>
</file>