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AF2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6F3087D7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3D83C0A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9842C12" w14:textId="0A7CB5FF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</w:t>
      </w:r>
    </w:p>
    <w:p w14:paraId="2E9B594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8BBB442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3FF10CE" w14:textId="01F9995E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r w:rsidR="00B8122A" w:rsidRPr="00FF32BE">
        <w:rPr>
          <w:rFonts w:ascii="Arial" w:hAnsi="Arial" w:cs="Arial"/>
          <w:i/>
          <w:sz w:val="20"/>
          <w:szCs w:val="20"/>
        </w:rPr>
        <w:t>status</w:t>
      </w:r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1B349DF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670"/>
        <w:gridCol w:w="1563"/>
        <w:gridCol w:w="1976"/>
        <w:gridCol w:w="3699"/>
      </w:tblGrid>
      <w:tr w:rsidR="00551D8A" w14:paraId="6CBC867E" w14:textId="77777777" w:rsidTr="00F6445F">
        <w:trPr>
          <w:trHeight w:val="1997"/>
        </w:trPr>
        <w:tc>
          <w:tcPr>
            <w:tcW w:w="5233" w:type="dxa"/>
            <w:gridSpan w:val="2"/>
          </w:tcPr>
          <w:p w14:paraId="4C9C81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B2EEE87" w14:textId="24AEB4D3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512E5" w:rsidRPr="00FF32BE">
              <w:rPr>
                <w:rFonts w:ascii="Arial" w:hAnsi="Arial" w:cs="Arial"/>
                <w:i/>
                <w:sz w:val="20"/>
                <w:szCs w:val="20"/>
              </w:rPr>
              <w:t>i.e.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42817275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10BBEE" w14:textId="6059BFBA" w:rsidR="00AC3659" w:rsidRPr="006B23AF" w:rsidRDefault="00AC3659" w:rsidP="00AC3659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 w:rsidR="00292D04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463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) Pavement Surface Properties 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Consortium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: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 P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hase II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I - Managing the Pavement 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Properties for Improved Safety</w:t>
            </w:r>
          </w:p>
          <w:p w14:paraId="4C0699F6" w14:textId="77777777" w:rsidR="00F32697" w:rsidRPr="006B23AF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D5FFD" w14:textId="77777777" w:rsidR="00F32697" w:rsidRPr="006B23AF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83CC9" w14:textId="77777777" w:rsidR="00E35E0F" w:rsidRPr="006B23AF" w:rsidRDefault="00E35E0F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5" w:type="dxa"/>
            <w:gridSpan w:val="2"/>
          </w:tcPr>
          <w:p w14:paraId="14F0B6A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19AD62A" w14:textId="03BBAA3D" w:rsidR="00551D8A" w:rsidRDefault="00F21C71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C16F261" w14:textId="38197B6E" w:rsidR="00551D8A" w:rsidRDefault="00BA7A6F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75D6D71" w14:textId="3904AF08" w:rsidR="00551D8A" w:rsidRDefault="00F21C71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63C9211" w14:textId="08D3FA32" w:rsidR="00551D8A" w:rsidRPr="00F32697" w:rsidRDefault="008E2D03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6B23AF" w14:paraId="3AC69472" w14:textId="77777777" w:rsidTr="00874EF7">
        <w:tc>
          <w:tcPr>
            <w:tcW w:w="10908" w:type="dxa"/>
            <w:gridSpan w:val="4"/>
          </w:tcPr>
          <w:p w14:paraId="17807454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5FB8B5D" w14:textId="11EDFAA0" w:rsidR="00535598" w:rsidRPr="006B23AF" w:rsidRDefault="00D27742" w:rsidP="00D27742">
            <w:pPr>
              <w:pStyle w:val="Default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</w:pP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Pavement Surface </w:t>
            </w:r>
            <w:r w:rsidRPr="00A86794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Properties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 Consortium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 P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>hase III</w:t>
            </w:r>
          </w:p>
          <w:p w14:paraId="0E1E4841" w14:textId="77777777" w:rsidR="00743C01" w:rsidRPr="006B23A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6445F" w:rsidRPr="00B66A21" w14:paraId="08CDCB6F" w14:textId="77777777" w:rsidTr="00F6445F">
        <w:tc>
          <w:tcPr>
            <w:tcW w:w="3670" w:type="dxa"/>
          </w:tcPr>
          <w:p w14:paraId="6232FF8A" w14:textId="77777777" w:rsidR="00F6445F" w:rsidRDefault="00F6445F" w:rsidP="00F644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415B7" w14:textId="598236F6" w:rsidR="00F6445F" w:rsidRPr="00C13753" w:rsidRDefault="00F6445F" w:rsidP="00F64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C8">
              <w:rPr>
                <w:rFonts w:ascii="Arial" w:hAnsi="Arial" w:cs="Arial"/>
                <w:sz w:val="20"/>
                <w:szCs w:val="20"/>
              </w:rPr>
              <w:t>Harikrishnan Nair</w:t>
            </w:r>
          </w:p>
        </w:tc>
        <w:tc>
          <w:tcPr>
            <w:tcW w:w="3539" w:type="dxa"/>
            <w:gridSpan w:val="2"/>
          </w:tcPr>
          <w:p w14:paraId="0F8B4DE3" w14:textId="77777777" w:rsidR="00F6445F" w:rsidRDefault="00F6445F" w:rsidP="00F644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3F7E4278" w14:textId="6E37BAFA" w:rsidR="00F6445F" w:rsidRPr="00C13753" w:rsidRDefault="00F6445F" w:rsidP="00F64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(434) 293-1948</w:t>
            </w:r>
          </w:p>
        </w:tc>
        <w:tc>
          <w:tcPr>
            <w:tcW w:w="3699" w:type="dxa"/>
          </w:tcPr>
          <w:p w14:paraId="6EDAD471" w14:textId="77777777" w:rsidR="00F6445F" w:rsidRDefault="00F6445F" w:rsidP="00F644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56D3721E" w14:textId="5C14F38D" w:rsidR="00F6445F" w:rsidRPr="00B66A21" w:rsidRDefault="00F6445F" w:rsidP="00F6445F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2F1912">
                <w:rPr>
                  <w:rStyle w:val="Hyperlink"/>
                  <w:rFonts w:ascii="Arial" w:hAnsi="Arial" w:cs="Arial"/>
                  <w:sz w:val="20"/>
                  <w:szCs w:val="20"/>
                </w:rPr>
                <w:t>harikrishnan. nair@VDOT.Virginia.gov</w:t>
              </w:r>
            </w:hyperlink>
          </w:p>
        </w:tc>
      </w:tr>
      <w:tr w:rsidR="00535598" w:rsidRPr="00B66A21" w14:paraId="3883D4FE" w14:textId="77777777" w:rsidTr="00F6445F">
        <w:tc>
          <w:tcPr>
            <w:tcW w:w="3670" w:type="dxa"/>
          </w:tcPr>
          <w:p w14:paraId="5A020F54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1C12F796" w14:textId="77777777" w:rsidR="00D27742" w:rsidRPr="00D27742" w:rsidRDefault="00D27742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82650</w:t>
            </w:r>
          </w:p>
        </w:tc>
        <w:tc>
          <w:tcPr>
            <w:tcW w:w="3539" w:type="dxa"/>
            <w:gridSpan w:val="2"/>
          </w:tcPr>
          <w:p w14:paraId="1EB108D1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08ABECCE" w14:textId="48C71947" w:rsidR="00D27742" w:rsidRPr="006B23AF" w:rsidRDefault="006B23AF" w:rsidP="006B23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3AF">
              <w:rPr>
                <w:rFonts w:ascii="Arial" w:hAnsi="Arial" w:cs="Arial"/>
                <w:bCs/>
                <w:sz w:val="20"/>
                <w:szCs w:val="20"/>
              </w:rPr>
              <w:t>467191 (VT)</w:t>
            </w:r>
          </w:p>
        </w:tc>
        <w:tc>
          <w:tcPr>
            <w:tcW w:w="3699" w:type="dxa"/>
          </w:tcPr>
          <w:p w14:paraId="46A85B20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3BCAE9F" w14:textId="5CE8CB8D" w:rsidR="00535598" w:rsidRPr="00B66A21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D27742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35598" w:rsidRPr="00B66A21" w14:paraId="7A1086E7" w14:textId="77777777" w:rsidTr="00F6445F">
        <w:tc>
          <w:tcPr>
            <w:tcW w:w="3670" w:type="dxa"/>
          </w:tcPr>
          <w:p w14:paraId="348ED5D6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6AE4A1B" w14:textId="78DE8332" w:rsidR="00D27742" w:rsidRPr="00D27742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27742" w:rsidRP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C3659">
              <w:rPr>
                <w:rFonts w:ascii="Arial" w:hAnsi="Arial" w:cs="Arial"/>
                <w:sz w:val="20"/>
                <w:szCs w:val="20"/>
              </w:rPr>
              <w:t>/202</w:t>
            </w:r>
            <w:r w:rsidR="00DD21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39" w:type="dxa"/>
            <w:gridSpan w:val="2"/>
          </w:tcPr>
          <w:p w14:paraId="475DE612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78500878" w14:textId="678F9EC0" w:rsidR="00D27742" w:rsidRPr="00D27742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A3C7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A3C74">
              <w:rPr>
                <w:rFonts w:ascii="Arial" w:hAnsi="Arial" w:cs="Arial"/>
                <w:sz w:val="20"/>
                <w:szCs w:val="20"/>
              </w:rPr>
              <w:t>/20</w:t>
            </w:r>
            <w:r w:rsidR="00AC3659">
              <w:rPr>
                <w:rFonts w:ascii="Arial" w:hAnsi="Arial" w:cs="Arial"/>
                <w:sz w:val="20"/>
                <w:szCs w:val="20"/>
              </w:rPr>
              <w:t>2</w:t>
            </w:r>
            <w:r w:rsidR="00DD21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9" w:type="dxa"/>
          </w:tcPr>
          <w:p w14:paraId="3161CBD2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FD5043E" w14:textId="77777777" w:rsidR="00535598" w:rsidRPr="00B66A21" w:rsidRDefault="00081B03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6714379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A57672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FBDBE0C" w14:textId="77777777"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14:paraId="4D30828A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90CBA1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AEAF35A" w14:textId="77777777" w:rsidTr="00B66A21">
        <w:tc>
          <w:tcPr>
            <w:tcW w:w="4158" w:type="dxa"/>
            <w:shd w:val="pct15" w:color="auto" w:fill="auto"/>
          </w:tcPr>
          <w:p w14:paraId="584C6CB5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6F33FDD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CE5A82C" w14:textId="77777777"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71843D" w14:textId="77777777"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EB62D7" w:rsidRPr="00B66A21" w14:paraId="48D3E536" w14:textId="77777777" w:rsidTr="00B66A21">
        <w:tc>
          <w:tcPr>
            <w:tcW w:w="4158" w:type="dxa"/>
          </w:tcPr>
          <w:p w14:paraId="72867957" w14:textId="69CD6EB7" w:rsidR="00EB62D7" w:rsidRPr="008C13A1" w:rsidRDefault="00EB62D7" w:rsidP="00EB62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3A1"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1,</w:t>
            </w:r>
            <w:r w:rsidR="00F21C71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  <w:r w:rsidR="003E7848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0,000*</w:t>
            </w:r>
          </w:p>
        </w:tc>
        <w:tc>
          <w:tcPr>
            <w:tcW w:w="3330" w:type="dxa"/>
          </w:tcPr>
          <w:p w14:paraId="2BEA00E8" w14:textId="023BD437" w:rsidR="00EB62D7" w:rsidRPr="008C13A1" w:rsidRDefault="00EB62D7" w:rsidP="00EB62D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B722ED" w:rsidRPr="00B722ED">
              <w:rPr>
                <w:rFonts w:ascii="Arial" w:hAnsi="Arial" w:cs="Arial"/>
                <w:sz w:val="20"/>
              </w:rPr>
              <w:t>1</w:t>
            </w:r>
            <w:r w:rsidR="00B722ED">
              <w:rPr>
                <w:rFonts w:ascii="Arial" w:hAnsi="Arial" w:cs="Arial"/>
                <w:sz w:val="20"/>
              </w:rPr>
              <w:t>,</w:t>
            </w:r>
            <w:r w:rsidR="001F6D16">
              <w:rPr>
                <w:rFonts w:ascii="Arial" w:hAnsi="Arial" w:cs="Arial"/>
                <w:sz w:val="20"/>
              </w:rPr>
              <w:t>427</w:t>
            </w:r>
            <w:r w:rsidR="00B722ED">
              <w:rPr>
                <w:rFonts w:ascii="Arial" w:hAnsi="Arial" w:cs="Arial"/>
                <w:sz w:val="20"/>
              </w:rPr>
              <w:t>,</w:t>
            </w:r>
            <w:r w:rsidR="001F6D16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3420" w:type="dxa"/>
          </w:tcPr>
          <w:p w14:paraId="4B319953" w14:textId="7D7E2BA2" w:rsidR="00EB62D7" w:rsidRPr="008C13A1" w:rsidRDefault="00EB62D7" w:rsidP="00EB62D7">
            <w:pPr>
              <w:tabs>
                <w:tab w:val="left" w:pos="1290"/>
                <w:tab w:val="center" w:pos="16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F6D16">
              <w:rPr>
                <w:rFonts w:ascii="Arial" w:hAnsi="Arial" w:cs="Arial"/>
                <w:sz w:val="20"/>
                <w:szCs w:val="20"/>
              </w:rPr>
              <w:t>77</w:t>
            </w:r>
            <w:r w:rsidRPr="008C13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40D1D37" w14:textId="77777777"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14:paraId="06267D3B" w14:textId="77777777"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BA65229" w14:textId="77777777" w:rsidTr="00B66A21">
        <w:tc>
          <w:tcPr>
            <w:tcW w:w="4158" w:type="dxa"/>
            <w:shd w:val="pct15" w:color="auto" w:fill="auto"/>
          </w:tcPr>
          <w:p w14:paraId="0D9F0765" w14:textId="77777777"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8EB61B2" w14:textId="77777777"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90F9F63" w14:textId="77777777"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7627BDF" w14:textId="77777777"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3836EADC" w14:textId="77777777"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DDCD363" w14:textId="77777777"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717EE9" w:rsidRPr="00B66A21" w14:paraId="05D9E601" w14:textId="77777777" w:rsidTr="008C13A1">
        <w:tc>
          <w:tcPr>
            <w:tcW w:w="4158" w:type="dxa"/>
          </w:tcPr>
          <w:p w14:paraId="06AAB688" w14:textId="36330969" w:rsidR="00717EE9" w:rsidRPr="00013654" w:rsidRDefault="00717EE9" w:rsidP="00717EE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E54017">
              <w:rPr>
                <w:rFonts w:ascii="Arial" w:hAnsi="Arial" w:cs="Arial"/>
                <w:sz w:val="20"/>
                <w:szCs w:val="20"/>
              </w:rPr>
              <w:t>1</w:t>
            </w:r>
            <w:r w:rsidR="001F6D16">
              <w:rPr>
                <w:rFonts w:ascii="Arial" w:hAnsi="Arial" w:cs="Arial"/>
                <w:sz w:val="20"/>
                <w:szCs w:val="20"/>
              </w:rPr>
              <w:t>4</w:t>
            </w:r>
            <w:r w:rsidR="00E5401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F6D16">
              <w:rPr>
                <w:rFonts w:ascii="Arial" w:hAnsi="Arial" w:cs="Arial"/>
                <w:sz w:val="20"/>
                <w:szCs w:val="20"/>
              </w:rPr>
              <w:t>55</w:t>
            </w:r>
            <w:r w:rsidR="00E54017">
              <w:rPr>
                <w:rFonts w:ascii="Arial" w:hAnsi="Arial" w:cs="Arial"/>
                <w:sz w:val="20"/>
                <w:szCs w:val="20"/>
              </w:rPr>
              <w:t>7</w:t>
            </w:r>
            <w:r w:rsidR="00ED4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654">
              <w:rPr>
                <w:rFonts w:ascii="Arial" w:hAnsi="Arial" w:cs="Arial"/>
                <w:sz w:val="20"/>
                <w:szCs w:val="20"/>
              </w:rPr>
              <w:t>(</w:t>
            </w:r>
            <w:r w:rsidR="000B24C4">
              <w:rPr>
                <w:rFonts w:ascii="Arial" w:hAnsi="Arial" w:cs="Arial"/>
                <w:sz w:val="20"/>
                <w:szCs w:val="20"/>
              </w:rPr>
              <w:t>8</w:t>
            </w:r>
            <w:r w:rsidRPr="0001365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</w:tcPr>
          <w:p w14:paraId="5E292565" w14:textId="6053EA50" w:rsidR="00717EE9" w:rsidRPr="00013654" w:rsidRDefault="00717EE9" w:rsidP="00ED48E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1F6D16">
              <w:rPr>
                <w:rFonts w:ascii="Arial" w:hAnsi="Arial" w:cs="Arial"/>
                <w:sz w:val="20"/>
                <w:szCs w:val="20"/>
              </w:rPr>
              <w:t>144</w:t>
            </w:r>
            <w:r w:rsidR="00E54017">
              <w:rPr>
                <w:rFonts w:ascii="Arial" w:hAnsi="Arial" w:cs="Arial"/>
                <w:sz w:val="20"/>
                <w:szCs w:val="20"/>
              </w:rPr>
              <w:t>,</w:t>
            </w:r>
            <w:r w:rsidR="001F6D16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3420" w:type="dxa"/>
          </w:tcPr>
          <w:p w14:paraId="6B8C710D" w14:textId="1A4F1F9C" w:rsidR="00717EE9" w:rsidRPr="00013654" w:rsidRDefault="001F6D16" w:rsidP="00717EE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717EE9" w:rsidRPr="000136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1359659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70546C" w14:textId="780D0787" w:rsidR="002153F0" w:rsidRDefault="00AC3659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  <w:vertAlign w:val="superscript"/>
        </w:rPr>
        <w:t xml:space="preserve">* </w:t>
      </w:r>
      <w:r w:rsidRPr="00DC3ED7">
        <w:rPr>
          <w:rFonts w:ascii="Arial" w:hAnsi="Arial" w:cs="Arial"/>
          <w:sz w:val="18"/>
          <w:szCs w:val="20"/>
        </w:rPr>
        <w:t xml:space="preserve">Committed; </w:t>
      </w:r>
      <w:r w:rsidR="007B245D">
        <w:rPr>
          <w:rFonts w:ascii="Arial" w:hAnsi="Arial" w:cs="Arial"/>
          <w:sz w:val="18"/>
          <w:szCs w:val="20"/>
        </w:rPr>
        <w:t>includes direct transfer from Arkansas DOT.  T</w:t>
      </w:r>
      <w:r w:rsidR="007B245D" w:rsidRPr="00DC3ED7">
        <w:rPr>
          <w:rFonts w:ascii="Arial" w:hAnsi="Arial" w:cs="Arial"/>
          <w:sz w:val="18"/>
          <w:szCs w:val="20"/>
        </w:rPr>
        <w:t>he actual contracted budget is $</w:t>
      </w:r>
      <w:r w:rsidR="003466D7">
        <w:rPr>
          <w:rFonts w:ascii="Arial" w:hAnsi="Arial" w:cs="Arial"/>
          <w:sz w:val="18"/>
          <w:szCs w:val="20"/>
        </w:rPr>
        <w:t>1</w:t>
      </w:r>
      <w:r w:rsidR="00AE63A9">
        <w:rPr>
          <w:rFonts w:ascii="Arial" w:hAnsi="Arial" w:cs="Arial"/>
          <w:sz w:val="18"/>
          <w:szCs w:val="20"/>
        </w:rPr>
        <w:t>,</w:t>
      </w:r>
      <w:r w:rsidR="000B24C4">
        <w:rPr>
          <w:rFonts w:ascii="Arial" w:hAnsi="Arial" w:cs="Arial"/>
          <w:sz w:val="18"/>
          <w:szCs w:val="20"/>
        </w:rPr>
        <w:t>590</w:t>
      </w:r>
      <w:r w:rsidR="007B245D" w:rsidRPr="00DC3ED7">
        <w:rPr>
          <w:rFonts w:ascii="Arial" w:hAnsi="Arial" w:cs="Arial"/>
          <w:sz w:val="18"/>
          <w:szCs w:val="20"/>
        </w:rPr>
        <w:t>,</w:t>
      </w:r>
      <w:r w:rsidR="003466D7">
        <w:rPr>
          <w:rFonts w:ascii="Arial" w:hAnsi="Arial" w:cs="Arial"/>
          <w:sz w:val="18"/>
          <w:szCs w:val="20"/>
        </w:rPr>
        <w:t>000</w:t>
      </w:r>
      <w:r w:rsidR="007B245D">
        <w:rPr>
          <w:rFonts w:ascii="Arial" w:hAnsi="Arial" w:cs="Arial"/>
          <w:sz w:val="18"/>
          <w:szCs w:val="20"/>
        </w:rPr>
        <w:t xml:space="preserve"> </w:t>
      </w:r>
      <w:r w:rsidR="007B245D" w:rsidRPr="00DC3ED7">
        <w:rPr>
          <w:rFonts w:ascii="Arial" w:hAnsi="Arial" w:cs="Arial"/>
          <w:sz w:val="18"/>
          <w:szCs w:val="20"/>
        </w:rPr>
        <w:t>(VTTI)</w:t>
      </w:r>
      <w:r w:rsidR="007B245D">
        <w:rPr>
          <w:rFonts w:ascii="Arial" w:hAnsi="Arial" w:cs="Arial"/>
          <w:sz w:val="18"/>
          <w:szCs w:val="20"/>
        </w:rPr>
        <w:t>.</w:t>
      </w:r>
    </w:p>
    <w:p w14:paraId="679B38A8" w14:textId="08F6C1AA" w:rsidR="00037FBC" w:rsidRPr="00DC3ED7" w:rsidRDefault="00037FBC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A8388D5" w14:textId="77777777" w:rsidTr="00601EBD">
        <w:tc>
          <w:tcPr>
            <w:tcW w:w="10908" w:type="dxa"/>
          </w:tcPr>
          <w:p w14:paraId="48D966F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FD4B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CC560E" w14:textId="512B1691" w:rsidR="00E970B6" w:rsidRDefault="00E970B6" w:rsidP="00E970B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h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is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applied research 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effort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focuse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on enhancing the level of service provided by the roadway transportation system by optimizing pavement surface characteristics.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Phase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I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 and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II </w:t>
            </w:r>
            <w:r w:rsidR="00D7665D" w:rsidRPr="00434DE9">
              <w:rPr>
                <w:rFonts w:ascii="Times New Roman" w:hAnsi="Times New Roman" w:cs="Times New Roman"/>
                <w:color w:val="000000"/>
                <w:sz w:val="20"/>
              </w:rPr>
              <w:t>included regular verification and validation of the participants’ equipment, opportunities for technology transfer, and the accumulation of a significant body of knowledge on the measurement of pavement surface properties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and the integration of these measurements into the next generation of pavement asset management systems. 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The 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objective this phase is: (1) to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continuing to support </w:t>
            </w:r>
            <w:r w:rsidR="00434DE9" w:rsidRPr="00B63423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the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implementation of asset management approaches and tools that help improve the safety of our road networks by reducing the number of crashes and related fatalities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, and (2)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to bring pavement design and evaluation experts together with maintenance and safety professionals to maximize the contribution of the pavement community Towards Zero Deaths on US highways.</w:t>
            </w:r>
          </w:p>
          <w:p w14:paraId="3928BA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552E8" w14:textId="77777777" w:rsidR="00037FBC" w:rsidRDefault="00037FBC" w:rsidP="004B7990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3B844" w14:textId="77777777" w:rsidTr="00601EBD">
        <w:tc>
          <w:tcPr>
            <w:tcW w:w="10908" w:type="dxa"/>
          </w:tcPr>
          <w:p w14:paraId="59EA6DF7" w14:textId="77777777" w:rsidR="00E35E0F" w:rsidRPr="0015565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5473AF" w14:textId="4E059228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 xml:space="preserve">Progress this Quarter (includes meetings, work plan status, contract status, </w:t>
            </w:r>
            <w:r w:rsidR="00B8122A" w:rsidRPr="00601EBD">
              <w:rPr>
                <w:rFonts w:ascii="Arial" w:hAnsi="Arial" w:cs="Arial"/>
                <w:b/>
                <w:sz w:val="20"/>
                <w:szCs w:val="20"/>
              </w:rPr>
              <w:t>noteworthy progress</w:t>
            </w:r>
            <w:r w:rsidRPr="00601EBD">
              <w:rPr>
                <w:rFonts w:ascii="Arial" w:hAnsi="Arial" w:cs="Arial"/>
                <w:b/>
                <w:sz w:val="20"/>
                <w:szCs w:val="20"/>
              </w:rPr>
              <w:t>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D7DFDA7" w14:textId="1658DF4E" w:rsidR="00CD2A08" w:rsidRDefault="00783570" w:rsidP="00037AB7">
            <w:pPr>
              <w:pStyle w:val="ListParagraph"/>
              <w:numPr>
                <w:ilvl w:val="0"/>
                <w:numId w:val="20"/>
              </w:numPr>
              <w:spacing w:before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The FHWA SCRIM </w:t>
            </w:r>
            <w:r w:rsidR="00533390"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was </w:t>
            </w: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used by the </w:t>
            </w:r>
            <w:r w:rsidR="00223AC4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  <w:r w:rsidR="001F52C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F52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Pavement Friction Management (PFM) and Continuous Pavement Friction Measurement (CPFM) to Intersection Safety Focus States</w:t>
            </w:r>
            <w:r w:rsidR="001F52C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 to make CPFM measurements in Florida </w:t>
            </w:r>
            <w:r w:rsidR="00DC4B8A" w:rsidRPr="005D54B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n January </w:t>
            </w:r>
            <w:r w:rsidR="00223AC4" w:rsidRPr="005D54B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C55D06" w:rsidRPr="005D54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3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2A5">
              <w:rPr>
                <w:rFonts w:ascii="Times New Roman" w:hAnsi="Times New Roman" w:cs="Times New Roman"/>
                <w:sz w:val="20"/>
                <w:szCs w:val="20"/>
              </w:rPr>
              <w:t xml:space="preserve">A second presentation was organized </w:t>
            </w:r>
            <w:r w:rsidR="008E06AB">
              <w:rPr>
                <w:rFonts w:ascii="Times New Roman" w:hAnsi="Times New Roman" w:cs="Times New Roman"/>
                <w:sz w:val="20"/>
                <w:szCs w:val="20"/>
              </w:rPr>
              <w:t xml:space="preserve">on August 3 to complete this work. All the questions were answered </w:t>
            </w:r>
            <w:r w:rsidR="00A5279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="008E06AB">
              <w:rPr>
                <w:rFonts w:ascii="Times New Roman" w:hAnsi="Times New Roman" w:cs="Times New Roman"/>
                <w:sz w:val="20"/>
                <w:szCs w:val="20"/>
              </w:rPr>
              <w:t xml:space="preserve"> the second meeting</w:t>
            </w:r>
            <w:r w:rsidR="00A52794">
              <w:rPr>
                <w:rFonts w:ascii="Times New Roman" w:hAnsi="Times New Roman" w:cs="Times New Roman"/>
                <w:sz w:val="20"/>
                <w:szCs w:val="20"/>
              </w:rPr>
              <w:t xml:space="preserve"> and the </w:t>
            </w:r>
            <w:r w:rsidR="004862A5">
              <w:rPr>
                <w:rFonts w:ascii="Times New Roman" w:hAnsi="Times New Roman" w:cs="Times New Roman"/>
                <w:sz w:val="20"/>
                <w:szCs w:val="20"/>
              </w:rPr>
              <w:t xml:space="preserve">data and </w:t>
            </w:r>
            <w:r w:rsidR="00A52794">
              <w:rPr>
                <w:rFonts w:ascii="Times New Roman" w:hAnsi="Times New Roman" w:cs="Times New Roman"/>
                <w:sz w:val="20"/>
                <w:szCs w:val="20"/>
              </w:rPr>
              <w:t>results shared</w:t>
            </w:r>
            <w:r w:rsidR="008E0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352C37" w14:textId="4D54D268" w:rsidR="00CD2A08" w:rsidRPr="005D54B1" w:rsidRDefault="00CD2A08" w:rsidP="00037AB7">
            <w:pPr>
              <w:pStyle w:val="ListParagraph"/>
              <w:numPr>
                <w:ilvl w:val="0"/>
                <w:numId w:val="20"/>
              </w:numPr>
              <w:spacing w:before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CSRI </w:t>
            </w:r>
            <w:r w:rsidR="009453D7">
              <w:rPr>
                <w:rFonts w:ascii="Times New Roman" w:hAnsi="Times New Roman" w:cs="Times New Roman"/>
                <w:sz w:val="20"/>
                <w:szCs w:val="20"/>
              </w:rPr>
              <w:t xml:space="preserve">was approached by the representative of the Illinois DOT in the pooled fund to </w:t>
            </w:r>
            <w:r w:rsidR="009E0727">
              <w:rPr>
                <w:rFonts w:ascii="Times New Roman" w:hAnsi="Times New Roman" w:cs="Times New Roman"/>
                <w:sz w:val="20"/>
                <w:szCs w:val="20"/>
              </w:rPr>
              <w:t xml:space="preserve">coordinate the collection of approximately 2,000 miles of </w:t>
            </w:r>
            <w:r w:rsidR="00A4077B">
              <w:rPr>
                <w:rFonts w:ascii="Times New Roman" w:hAnsi="Times New Roman" w:cs="Times New Roman"/>
                <w:sz w:val="20"/>
                <w:szCs w:val="20"/>
              </w:rPr>
              <w:t xml:space="preserve">CPFM measurements </w:t>
            </w:r>
            <w:r w:rsidR="004D59C4">
              <w:rPr>
                <w:rFonts w:ascii="Times New Roman" w:hAnsi="Times New Roman" w:cs="Times New Roman"/>
                <w:sz w:val="20"/>
                <w:szCs w:val="20"/>
              </w:rPr>
              <w:t xml:space="preserve">within District 6 in Illinois </w:t>
            </w:r>
            <w:r w:rsidR="00A4077B">
              <w:rPr>
                <w:rFonts w:ascii="Times New Roman" w:hAnsi="Times New Roman" w:cs="Times New Roman"/>
                <w:sz w:val="20"/>
                <w:szCs w:val="20"/>
              </w:rPr>
              <w:t>with the FHWA SCRIM</w:t>
            </w:r>
            <w:r w:rsidR="00E523CA">
              <w:rPr>
                <w:rFonts w:ascii="Times New Roman" w:hAnsi="Times New Roman" w:cs="Times New Roman"/>
                <w:sz w:val="20"/>
                <w:szCs w:val="20"/>
              </w:rPr>
              <w:t>. CSRI requested the maps and files of the routes to be collected to organize this request</w:t>
            </w:r>
            <w:r w:rsidR="004D59C4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="0079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2A5">
              <w:rPr>
                <w:rFonts w:ascii="Times New Roman" w:hAnsi="Times New Roman" w:cs="Times New Roman"/>
                <w:sz w:val="20"/>
                <w:szCs w:val="20"/>
              </w:rPr>
              <w:t>started planning the measurements.</w:t>
            </w:r>
          </w:p>
          <w:p w14:paraId="7204C070" w14:textId="757DD879" w:rsidR="00037AB7" w:rsidRDefault="00037AB7" w:rsidP="00037AB7">
            <w:pPr>
              <w:pStyle w:val="ListBullet"/>
              <w:numPr>
                <w:ilvl w:val="0"/>
                <w:numId w:val="20"/>
              </w:numPr>
            </w:pPr>
            <w:r>
              <w:t xml:space="preserve">As part of the initiative to use </w:t>
            </w:r>
            <w:r w:rsidR="00D22CE3">
              <w:t xml:space="preserve">more </w:t>
            </w:r>
            <w:r w:rsidRPr="00006905">
              <w:t>LWA</w:t>
            </w:r>
            <w:r w:rsidR="00D22CE3">
              <w:t xml:space="preserve"> in preservation applications, </w:t>
            </w:r>
            <w:r>
              <w:t xml:space="preserve">Edgar de León Izeppi </w:t>
            </w:r>
            <w:r w:rsidR="00D22CE3">
              <w:t>made</w:t>
            </w:r>
            <w:r>
              <w:t xml:space="preserve"> a presentation at the Midwest Pavement Preservation Conference in Omaha, Nebraska on September 1</w:t>
            </w:r>
            <w:r w:rsidR="002C7F60">
              <w:t>6</w:t>
            </w:r>
            <w:r>
              <w:t xml:space="preserve">, 2025, about the results of the measurements </w:t>
            </w:r>
            <w:r w:rsidR="002C7F60">
              <w:t>from</w:t>
            </w:r>
            <w:r w:rsidR="00E73DEF">
              <w:t xml:space="preserve"> Kansas,</w:t>
            </w:r>
            <w:r>
              <w:t xml:space="preserve"> South </w:t>
            </w:r>
            <w:r w:rsidR="00E73DEF">
              <w:t xml:space="preserve">Carolina, </w:t>
            </w:r>
            <w:r>
              <w:t>and North Carolina.</w:t>
            </w:r>
            <w:r w:rsidR="00E73DEF">
              <w:t xml:space="preserve"> Bob Rea from the Nebraska DOT made an introductory presentation about the use of LWA </w:t>
            </w:r>
            <w:r w:rsidR="00420059">
              <w:t>in Nebraska</w:t>
            </w:r>
            <w:r w:rsidR="00CC7021">
              <w:t>.</w:t>
            </w:r>
          </w:p>
          <w:p w14:paraId="4F7D7841" w14:textId="792B472C" w:rsidR="00CC7021" w:rsidRPr="005D54B1" w:rsidRDefault="004862A5" w:rsidP="00CC7021">
            <w:pPr>
              <w:pStyle w:val="ListParagraph"/>
              <w:numPr>
                <w:ilvl w:val="0"/>
                <w:numId w:val="20"/>
              </w:numPr>
              <w:spacing w:before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updates for </w:t>
            </w:r>
            <w:r w:rsidR="00CC7021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CC7021" w:rsidRPr="005D54B1">
              <w:rPr>
                <w:rFonts w:ascii="Times New Roman" w:hAnsi="Times New Roman" w:cs="Times New Roman"/>
                <w:sz w:val="20"/>
                <w:szCs w:val="20"/>
              </w:rPr>
              <w:t>Grip Tester 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CC7021"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 been </w:t>
            </w:r>
            <w:r w:rsidR="00412980">
              <w:rPr>
                <w:rFonts w:ascii="Times New Roman" w:hAnsi="Times New Roman" w:cs="Times New Roman"/>
                <w:sz w:val="20"/>
                <w:szCs w:val="20"/>
              </w:rPr>
              <w:t>finished</w:t>
            </w:r>
            <w:r w:rsidR="00CC7021"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 and this unit will be delivered to MCDOT </w:t>
            </w:r>
            <w:r w:rsidR="004E1A95" w:rsidRPr="005D54B1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="00CC7021"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="00442907">
              <w:rPr>
                <w:rFonts w:ascii="Times New Roman" w:hAnsi="Times New Roman" w:cs="Times New Roman"/>
                <w:sz w:val="20"/>
                <w:szCs w:val="20"/>
              </w:rPr>
              <w:t>beginning of October</w:t>
            </w:r>
            <w:r w:rsidR="004E1A95">
              <w:rPr>
                <w:rFonts w:ascii="Times New Roman" w:hAnsi="Times New Roman" w:cs="Times New Roman"/>
                <w:sz w:val="20"/>
                <w:szCs w:val="20"/>
              </w:rPr>
              <w:t>. CSRI personnel will be traveling to Phoenix to provide the necessary training for data collection</w:t>
            </w:r>
            <w:r w:rsidR="00E94B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C19AEBF" w14:textId="6CCA0FDA" w:rsidR="00A13B37" w:rsidRDefault="006C44FB" w:rsidP="00037AB7">
            <w:pPr>
              <w:pStyle w:val="ListParagraph"/>
              <w:numPr>
                <w:ilvl w:val="0"/>
                <w:numId w:val="20"/>
              </w:numPr>
              <w:spacing w:before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>CSRI continue</w:t>
            </w:r>
            <w:r w:rsidR="00294BF9" w:rsidRPr="005D54B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D54B1">
              <w:rPr>
                <w:rFonts w:ascii="Times New Roman" w:hAnsi="Times New Roman" w:cs="Times New Roman"/>
                <w:sz w:val="20"/>
                <w:szCs w:val="20"/>
              </w:rPr>
              <w:t xml:space="preserve"> working on the Report for Arkansas DOT. The analysis process has been </w:t>
            </w:r>
            <w:r w:rsidR="008C01E5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r w:rsidR="008E0A95">
              <w:rPr>
                <w:rFonts w:ascii="Times New Roman" w:hAnsi="Times New Roman" w:cs="Times New Roman"/>
                <w:sz w:val="20"/>
                <w:szCs w:val="20"/>
              </w:rPr>
              <w:t>, and the</w:t>
            </w:r>
            <w:r w:rsidR="008614BF">
              <w:rPr>
                <w:rFonts w:ascii="Times New Roman" w:hAnsi="Times New Roman" w:cs="Times New Roman"/>
                <w:sz w:val="20"/>
                <w:szCs w:val="20"/>
              </w:rPr>
              <w:t xml:space="preserve"> final report will be </w:t>
            </w:r>
            <w:r w:rsidR="008A1526">
              <w:rPr>
                <w:rFonts w:ascii="Times New Roman" w:hAnsi="Times New Roman" w:cs="Times New Roman"/>
                <w:sz w:val="20"/>
                <w:szCs w:val="20"/>
              </w:rPr>
              <w:t xml:space="preserve">edited and </w:t>
            </w:r>
            <w:r w:rsidR="008614BF">
              <w:rPr>
                <w:rFonts w:ascii="Times New Roman" w:hAnsi="Times New Roman" w:cs="Times New Roman"/>
                <w:sz w:val="20"/>
                <w:szCs w:val="20"/>
              </w:rPr>
              <w:t xml:space="preserve">presented </w:t>
            </w:r>
            <w:r w:rsidR="008A1526">
              <w:rPr>
                <w:rFonts w:ascii="Times New Roman" w:hAnsi="Times New Roman" w:cs="Times New Roman"/>
                <w:sz w:val="20"/>
                <w:szCs w:val="20"/>
              </w:rPr>
              <w:t>to the DOT in the following quarter.</w:t>
            </w:r>
          </w:p>
          <w:p w14:paraId="37DFBACB" w14:textId="14716D78" w:rsidR="000D15B3" w:rsidRDefault="000D15B3" w:rsidP="00037AB7">
            <w:pPr>
              <w:pStyle w:val="ListParagraph"/>
              <w:numPr>
                <w:ilvl w:val="0"/>
                <w:numId w:val="20"/>
              </w:numPr>
              <w:spacing w:before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CSRI </w:t>
            </w:r>
            <w:r w:rsidR="00255930">
              <w:rPr>
                <w:rFonts w:ascii="Times New Roman" w:hAnsi="Times New Roman" w:cs="Times New Roman"/>
                <w:sz w:val="20"/>
                <w:szCs w:val="20"/>
              </w:rPr>
              <w:t>continued working on the macrotexture data collected at the ICART facility in June and will schedule a meeting in early October with all the members of the Pooled Fund to present the results</w:t>
            </w:r>
            <w:r w:rsidR="00861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B1BC5B" w14:textId="14539314" w:rsidR="00AE63A9" w:rsidRDefault="00AE63A9" w:rsidP="008E0A95">
            <w:pPr>
              <w:spacing w:before="60"/>
            </w:pPr>
          </w:p>
        </w:tc>
      </w:tr>
    </w:tbl>
    <w:p w14:paraId="6D56EED0" w14:textId="42046AA4" w:rsidR="00984D67" w:rsidRDefault="00984D67" w:rsidP="00DD680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116A01" w14:paraId="382ECA03" w14:textId="77777777" w:rsidTr="009E2027">
        <w:tc>
          <w:tcPr>
            <w:tcW w:w="10908" w:type="dxa"/>
          </w:tcPr>
          <w:p w14:paraId="43B943BC" w14:textId="77777777" w:rsidR="00E35E0F" w:rsidRDefault="00E35E0F" w:rsidP="004B799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84B27" w14:textId="1B58ED30" w:rsidR="00601EBD" w:rsidRPr="003858F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58F1"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r w:rsidR="009C085C" w:rsidRPr="003858F1">
              <w:rPr>
                <w:rFonts w:ascii="Arial" w:hAnsi="Arial" w:cs="Arial"/>
                <w:b/>
                <w:sz w:val="20"/>
                <w:szCs w:val="20"/>
              </w:rPr>
              <w:t>work for</w:t>
            </w:r>
            <w:r w:rsidRPr="003858F1">
              <w:rPr>
                <w:rFonts w:ascii="Arial" w:hAnsi="Arial" w:cs="Arial"/>
                <w:b/>
                <w:sz w:val="20"/>
                <w:szCs w:val="20"/>
              </w:rPr>
              <w:t xml:space="preserve"> next quarter</w:t>
            </w:r>
            <w:r w:rsidRPr="003858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D045A3" w14:textId="0BA1572B" w:rsidR="00AE63A9" w:rsidRPr="003C1B80" w:rsidRDefault="00EC370A" w:rsidP="000F6674">
            <w:pPr>
              <w:pStyle w:val="ListBullet"/>
            </w:pPr>
            <w:r w:rsidRPr="003C1B80">
              <w:t xml:space="preserve">CSRI will </w:t>
            </w:r>
            <w:r w:rsidR="003C1B80">
              <w:t>complete</w:t>
            </w:r>
            <w:r w:rsidRPr="003C1B80">
              <w:t xml:space="preserve"> the Report for Arkansas DOT</w:t>
            </w:r>
            <w:r w:rsidR="003C1B80">
              <w:t>.</w:t>
            </w:r>
          </w:p>
          <w:p w14:paraId="2560C113" w14:textId="77777777" w:rsidR="00DD4E70" w:rsidRDefault="00AD16C9" w:rsidP="00A609A3">
            <w:pPr>
              <w:pStyle w:val="ListBullet"/>
            </w:pPr>
            <w:r w:rsidRPr="003C1B80">
              <w:t xml:space="preserve">CSRI will </w:t>
            </w:r>
            <w:r w:rsidR="003C1B80">
              <w:t xml:space="preserve">deliver the Grip Tester to </w:t>
            </w:r>
            <w:r w:rsidR="00DD4E70">
              <w:t>Maricopa DOT in Arizona</w:t>
            </w:r>
            <w:r w:rsidRPr="003C1B80">
              <w:t>.</w:t>
            </w:r>
          </w:p>
          <w:p w14:paraId="1C71C403" w14:textId="162C10FE" w:rsidR="00A609A3" w:rsidRDefault="00DD4E70" w:rsidP="00A609A3">
            <w:pPr>
              <w:pStyle w:val="ListBullet"/>
            </w:pPr>
            <w:r>
              <w:t xml:space="preserve">The data collection in Illinois will </w:t>
            </w:r>
            <w:r w:rsidR="007A4E53">
              <w:t xml:space="preserve">be </w:t>
            </w:r>
            <w:r>
              <w:t>complete</w:t>
            </w:r>
            <w:r w:rsidR="007A4E53">
              <w:t>d</w:t>
            </w:r>
            <w:r>
              <w:t xml:space="preserve"> </w:t>
            </w:r>
            <w:r w:rsidR="007A4E53">
              <w:t xml:space="preserve">in this quarter for the </w:t>
            </w:r>
            <w:r>
              <w:t xml:space="preserve">2,000 miles </w:t>
            </w:r>
            <w:r w:rsidR="007A4E53">
              <w:t xml:space="preserve">requested </w:t>
            </w:r>
            <w:r w:rsidR="00F14D20">
              <w:t>from</w:t>
            </w:r>
            <w:r w:rsidR="007A4E53">
              <w:t xml:space="preserve"> District 6.</w:t>
            </w:r>
            <w:r w:rsidR="00F14D20">
              <w:t xml:space="preserve"> This work will also include training on the use of the processing and analysis tools for the SCRIM to the DOT.</w:t>
            </w:r>
          </w:p>
          <w:p w14:paraId="3F72F506" w14:textId="01E27FC1" w:rsidR="00DD4E70" w:rsidRPr="00116A01" w:rsidRDefault="00DD4E70" w:rsidP="00DD4E7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601EBD" w14:paraId="4E32AAC3" w14:textId="77777777" w:rsidTr="00601EBD">
        <w:tc>
          <w:tcPr>
            <w:tcW w:w="10908" w:type="dxa"/>
          </w:tcPr>
          <w:p w14:paraId="43C76DAE" w14:textId="6661FA0D" w:rsidR="00E35E0F" w:rsidRPr="00116A01" w:rsidRDefault="00E35E0F" w:rsidP="00C846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7811B" w14:textId="38B4BD47" w:rsidR="00601EBD" w:rsidRDefault="00601EBD" w:rsidP="00C846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F3A4C60" w14:textId="77777777" w:rsidR="00FF6695" w:rsidRDefault="00FF6695" w:rsidP="00406A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3495A" w14:textId="77777777" w:rsidR="00406A5C" w:rsidRDefault="00406A5C" w:rsidP="00406A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C6C9A5" w14:textId="5A90E021" w:rsidR="00406A5C" w:rsidRDefault="00406A5C" w:rsidP="00406A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FC1AB3A" w14:textId="77777777" w:rsidTr="00601EBD">
        <w:tc>
          <w:tcPr>
            <w:tcW w:w="10908" w:type="dxa"/>
          </w:tcPr>
          <w:p w14:paraId="5D984F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14:paraId="7920478C" w14:textId="5A3EE5BE" w:rsidR="00601EBD" w:rsidRDefault="00601EBD" w:rsidP="006A15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B1A03" w14:textId="39331E5A" w:rsidR="006A15C6" w:rsidRPr="006A15C6" w:rsidRDefault="006A15C6" w:rsidP="006A1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D284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74E613E9" w14:textId="77777777" w:rsidTr="00E35E0F">
        <w:tc>
          <w:tcPr>
            <w:tcW w:w="10908" w:type="dxa"/>
          </w:tcPr>
          <w:p w14:paraId="0E2462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E380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E154978" w14:textId="77777777" w:rsidR="009E326D" w:rsidRDefault="009E32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00CD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6CB41" w14:textId="3E40C1C6" w:rsidR="00E35E0F" w:rsidRPr="008E50C7" w:rsidRDefault="00E35E0F" w:rsidP="00325D71">
      <w:pPr>
        <w:tabs>
          <w:tab w:val="left" w:pos="9002"/>
        </w:tabs>
        <w:spacing w:after="0"/>
        <w:ind w:left="-720" w:right="-720"/>
        <w:rPr>
          <w:rFonts w:ascii="Arial" w:hAnsi="Arial" w:cs="Arial"/>
          <w:sz w:val="12"/>
          <w:szCs w:val="20"/>
        </w:rPr>
      </w:pPr>
    </w:p>
    <w:sectPr w:rsidR="00E35E0F" w:rsidRPr="008E50C7" w:rsidSect="004E1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0D6B" w14:textId="77777777" w:rsidR="00D17A7A" w:rsidRDefault="00D17A7A" w:rsidP="00106C83">
      <w:pPr>
        <w:spacing w:after="0" w:line="240" w:lineRule="auto"/>
      </w:pPr>
      <w:r>
        <w:separator/>
      </w:r>
    </w:p>
  </w:endnote>
  <w:endnote w:type="continuationSeparator" w:id="0">
    <w:p w14:paraId="0D778A15" w14:textId="77777777" w:rsidR="00D17A7A" w:rsidRDefault="00D17A7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AFC7" w14:textId="77777777" w:rsidR="00BA04F6" w:rsidRDefault="00BA0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996E" w14:textId="7D1BD355" w:rsidR="007C6596" w:rsidRPr="00FF6695" w:rsidRDefault="007C6596" w:rsidP="00785665">
    <w:pPr>
      <w:pStyle w:val="Footer"/>
      <w:ind w:left="-360"/>
      <w:rPr>
        <w:sz w:val="18"/>
      </w:rPr>
    </w:pPr>
    <w:r w:rsidRPr="00FF6695">
      <w:rPr>
        <w:sz w:val="18"/>
      </w:rPr>
      <w:t>TPF Program Standar</w:t>
    </w:r>
    <w:r w:rsidR="00C661C3" w:rsidRPr="00FF6695">
      <w:rPr>
        <w:sz w:val="18"/>
      </w:rPr>
      <w:t xml:space="preserve">d Quarterly Reporting Format </w:t>
    </w:r>
    <w:r w:rsidR="00FF6695" w:rsidRPr="00FF6695">
      <w:rPr>
        <w:sz w:val="18"/>
      </w:rPr>
      <w:tab/>
    </w:r>
    <w:r w:rsidR="00FF6695" w:rsidRPr="00FF6695">
      <w:rPr>
        <w:sz w:val="18"/>
      </w:rPr>
      <w:tab/>
      <w:t>0</w:t>
    </w:r>
    <w:r w:rsidR="00BA04F6">
      <w:rPr>
        <w:sz w:val="18"/>
      </w:rPr>
      <w:t>3</w:t>
    </w:r>
    <w:r w:rsidRPr="00FF6695">
      <w:rPr>
        <w:sz w:val="18"/>
      </w:rPr>
      <w:t>/20</w:t>
    </w:r>
    <w:r w:rsidR="00BA04F6">
      <w:rPr>
        <w:sz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08D9" w14:textId="77777777" w:rsidR="00BA04F6" w:rsidRDefault="00BA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DC42" w14:textId="77777777" w:rsidR="00D17A7A" w:rsidRDefault="00D17A7A" w:rsidP="00106C83">
      <w:pPr>
        <w:spacing w:after="0" w:line="240" w:lineRule="auto"/>
      </w:pPr>
      <w:r>
        <w:separator/>
      </w:r>
    </w:p>
  </w:footnote>
  <w:footnote w:type="continuationSeparator" w:id="0">
    <w:p w14:paraId="09AD38D3" w14:textId="77777777" w:rsidR="00D17A7A" w:rsidRDefault="00D17A7A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156A" w14:textId="77777777" w:rsidR="00BA04F6" w:rsidRDefault="00BA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367E" w14:textId="77777777" w:rsidR="00BA04F6" w:rsidRDefault="00BA0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A06D" w14:textId="77777777" w:rsidR="00BA04F6" w:rsidRDefault="00BA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FF0"/>
    <w:multiLevelType w:val="hybridMultilevel"/>
    <w:tmpl w:val="792046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510FECC">
      <w:start w:val="1"/>
      <w:numFmt w:val="bullet"/>
      <w:lvlText w:val="-"/>
      <w:lvlJc w:val="left"/>
      <w:pPr>
        <w:ind w:left="32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17369C"/>
    <w:multiLevelType w:val="hybridMultilevel"/>
    <w:tmpl w:val="6EDA13FC"/>
    <w:lvl w:ilvl="0" w:tplc="03227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06AB"/>
    <w:multiLevelType w:val="hybridMultilevel"/>
    <w:tmpl w:val="15302C60"/>
    <w:lvl w:ilvl="0" w:tplc="00F4E7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B3B"/>
    <w:multiLevelType w:val="hybridMultilevel"/>
    <w:tmpl w:val="F1E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16FC"/>
    <w:multiLevelType w:val="hybridMultilevel"/>
    <w:tmpl w:val="B7F2410A"/>
    <w:lvl w:ilvl="0" w:tplc="0A78E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64FC2"/>
    <w:multiLevelType w:val="hybridMultilevel"/>
    <w:tmpl w:val="9C620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F8F01E1"/>
    <w:multiLevelType w:val="hybridMultilevel"/>
    <w:tmpl w:val="54C2307C"/>
    <w:lvl w:ilvl="0" w:tplc="60F2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12" w15:restartNumberingAfterBreak="0">
    <w:nsid w:val="4CEA75ED"/>
    <w:multiLevelType w:val="hybridMultilevel"/>
    <w:tmpl w:val="2DFEBF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0F4E7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F6BFF"/>
    <w:multiLevelType w:val="hybridMultilevel"/>
    <w:tmpl w:val="ECAC12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284A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D1797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DF6"/>
    <w:multiLevelType w:val="hybridMultilevel"/>
    <w:tmpl w:val="06E8427E"/>
    <w:lvl w:ilvl="0" w:tplc="162C1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A540C8"/>
    <w:multiLevelType w:val="hybridMultilevel"/>
    <w:tmpl w:val="0DA4C770"/>
    <w:lvl w:ilvl="0" w:tplc="A4D87B66">
      <w:start w:val="1"/>
      <w:numFmt w:val="bullet"/>
      <w:pStyle w:val="List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A442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C2DE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4723"/>
    <w:multiLevelType w:val="hybridMultilevel"/>
    <w:tmpl w:val="91DAD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8043D"/>
    <w:multiLevelType w:val="hybridMultilevel"/>
    <w:tmpl w:val="7ECA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AF5"/>
    <w:multiLevelType w:val="hybridMultilevel"/>
    <w:tmpl w:val="02F6175C"/>
    <w:lvl w:ilvl="0" w:tplc="6DF244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2C42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670F7"/>
    <w:multiLevelType w:val="hybridMultilevel"/>
    <w:tmpl w:val="05D2A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74F4A"/>
    <w:multiLevelType w:val="hybridMultilevel"/>
    <w:tmpl w:val="04CC71CA"/>
    <w:lvl w:ilvl="0" w:tplc="CDA81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35854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228056">
    <w:abstractNumId w:val="2"/>
  </w:num>
  <w:num w:numId="2" w16cid:durableId="2123643581">
    <w:abstractNumId w:val="4"/>
  </w:num>
  <w:num w:numId="3" w16cid:durableId="1302267521">
    <w:abstractNumId w:val="22"/>
  </w:num>
  <w:num w:numId="4" w16cid:durableId="1028946800">
    <w:abstractNumId w:val="9"/>
  </w:num>
  <w:num w:numId="5" w16cid:durableId="1891719757">
    <w:abstractNumId w:val="17"/>
  </w:num>
  <w:num w:numId="6" w16cid:durableId="954794648">
    <w:abstractNumId w:val="5"/>
  </w:num>
  <w:num w:numId="7" w16cid:durableId="380060421">
    <w:abstractNumId w:val="11"/>
  </w:num>
  <w:num w:numId="8" w16cid:durableId="1970669571">
    <w:abstractNumId w:val="19"/>
  </w:num>
  <w:num w:numId="9" w16cid:durableId="637884991">
    <w:abstractNumId w:val="13"/>
  </w:num>
  <w:num w:numId="10" w16cid:durableId="191771140">
    <w:abstractNumId w:val="6"/>
  </w:num>
  <w:num w:numId="11" w16cid:durableId="1212841324">
    <w:abstractNumId w:val="10"/>
  </w:num>
  <w:num w:numId="12" w16cid:durableId="187305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389259">
    <w:abstractNumId w:val="0"/>
  </w:num>
  <w:num w:numId="14" w16cid:durableId="1762334517">
    <w:abstractNumId w:val="20"/>
  </w:num>
  <w:num w:numId="15" w16cid:durableId="1056582846">
    <w:abstractNumId w:val="1"/>
  </w:num>
  <w:num w:numId="16" w16cid:durableId="251087505">
    <w:abstractNumId w:val="15"/>
  </w:num>
  <w:num w:numId="17" w16cid:durableId="496456422">
    <w:abstractNumId w:val="21"/>
  </w:num>
  <w:num w:numId="18" w16cid:durableId="1643924889">
    <w:abstractNumId w:val="18"/>
  </w:num>
  <w:num w:numId="19" w16cid:durableId="81606086">
    <w:abstractNumId w:val="8"/>
  </w:num>
  <w:num w:numId="20" w16cid:durableId="134614890">
    <w:abstractNumId w:val="12"/>
  </w:num>
  <w:num w:numId="21" w16cid:durableId="998653603">
    <w:abstractNumId w:val="16"/>
  </w:num>
  <w:num w:numId="22" w16cid:durableId="643970851">
    <w:abstractNumId w:val="3"/>
  </w:num>
  <w:num w:numId="23" w16cid:durableId="189381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3BC2"/>
    <w:rsid w:val="00013654"/>
    <w:rsid w:val="00015C19"/>
    <w:rsid w:val="0002076B"/>
    <w:rsid w:val="000235EF"/>
    <w:rsid w:val="00037AB7"/>
    <w:rsid w:val="00037FBC"/>
    <w:rsid w:val="00043A25"/>
    <w:rsid w:val="00044CED"/>
    <w:rsid w:val="00052853"/>
    <w:rsid w:val="000566FF"/>
    <w:rsid w:val="000639FA"/>
    <w:rsid w:val="00071138"/>
    <w:rsid w:val="000711F5"/>
    <w:rsid w:val="000736BB"/>
    <w:rsid w:val="00073DB6"/>
    <w:rsid w:val="00074F2E"/>
    <w:rsid w:val="00077542"/>
    <w:rsid w:val="00081B03"/>
    <w:rsid w:val="000A026F"/>
    <w:rsid w:val="000B24C4"/>
    <w:rsid w:val="000B47C1"/>
    <w:rsid w:val="000B47C4"/>
    <w:rsid w:val="000B665A"/>
    <w:rsid w:val="000C3D88"/>
    <w:rsid w:val="000D15B3"/>
    <w:rsid w:val="000D2E53"/>
    <w:rsid w:val="000F310F"/>
    <w:rsid w:val="000F53D6"/>
    <w:rsid w:val="000F6674"/>
    <w:rsid w:val="00100498"/>
    <w:rsid w:val="00100D06"/>
    <w:rsid w:val="001067EB"/>
    <w:rsid w:val="00106C83"/>
    <w:rsid w:val="00110566"/>
    <w:rsid w:val="001116BE"/>
    <w:rsid w:val="0011489A"/>
    <w:rsid w:val="001155C8"/>
    <w:rsid w:val="00116A01"/>
    <w:rsid w:val="001175EB"/>
    <w:rsid w:val="00120500"/>
    <w:rsid w:val="00130B26"/>
    <w:rsid w:val="0014353B"/>
    <w:rsid w:val="00150BE8"/>
    <w:rsid w:val="0015472D"/>
    <w:rsid w:val="001547D0"/>
    <w:rsid w:val="0015565F"/>
    <w:rsid w:val="00161153"/>
    <w:rsid w:val="00161B11"/>
    <w:rsid w:val="001667BB"/>
    <w:rsid w:val="00173A9E"/>
    <w:rsid w:val="001845FD"/>
    <w:rsid w:val="00191182"/>
    <w:rsid w:val="001A7023"/>
    <w:rsid w:val="001C6A9D"/>
    <w:rsid w:val="001C6FC1"/>
    <w:rsid w:val="001D721A"/>
    <w:rsid w:val="001E1289"/>
    <w:rsid w:val="001E1A2D"/>
    <w:rsid w:val="001E2223"/>
    <w:rsid w:val="001E4B10"/>
    <w:rsid w:val="001E69A9"/>
    <w:rsid w:val="001F2D71"/>
    <w:rsid w:val="001F3919"/>
    <w:rsid w:val="001F52C3"/>
    <w:rsid w:val="001F5D6C"/>
    <w:rsid w:val="001F6D16"/>
    <w:rsid w:val="00200631"/>
    <w:rsid w:val="00200C97"/>
    <w:rsid w:val="002069FF"/>
    <w:rsid w:val="002078E7"/>
    <w:rsid w:val="002110FC"/>
    <w:rsid w:val="0021446D"/>
    <w:rsid w:val="002153F0"/>
    <w:rsid w:val="00215C6A"/>
    <w:rsid w:val="00216AA2"/>
    <w:rsid w:val="00217989"/>
    <w:rsid w:val="002219BB"/>
    <w:rsid w:val="00221B21"/>
    <w:rsid w:val="0022278A"/>
    <w:rsid w:val="00223AC4"/>
    <w:rsid w:val="00230920"/>
    <w:rsid w:val="002334C7"/>
    <w:rsid w:val="00235F65"/>
    <w:rsid w:val="00243BCD"/>
    <w:rsid w:val="00245F4C"/>
    <w:rsid w:val="00250BC3"/>
    <w:rsid w:val="00252329"/>
    <w:rsid w:val="002527EE"/>
    <w:rsid w:val="002528FE"/>
    <w:rsid w:val="00255930"/>
    <w:rsid w:val="00257E1E"/>
    <w:rsid w:val="00260BE1"/>
    <w:rsid w:val="00260EAF"/>
    <w:rsid w:val="00261012"/>
    <w:rsid w:val="00270011"/>
    <w:rsid w:val="00272667"/>
    <w:rsid w:val="00277B68"/>
    <w:rsid w:val="00286045"/>
    <w:rsid w:val="002924C2"/>
    <w:rsid w:val="00292D04"/>
    <w:rsid w:val="00293FD8"/>
    <w:rsid w:val="00294BF9"/>
    <w:rsid w:val="002A3C74"/>
    <w:rsid w:val="002A4438"/>
    <w:rsid w:val="002A6EC3"/>
    <w:rsid w:val="002A7632"/>
    <w:rsid w:val="002A7710"/>
    <w:rsid w:val="002A79C8"/>
    <w:rsid w:val="002B19D5"/>
    <w:rsid w:val="002B2D2F"/>
    <w:rsid w:val="002C03BE"/>
    <w:rsid w:val="002C1EFB"/>
    <w:rsid w:val="002C7F60"/>
    <w:rsid w:val="002D3790"/>
    <w:rsid w:val="002D3820"/>
    <w:rsid w:val="002D5BCD"/>
    <w:rsid w:val="002E2339"/>
    <w:rsid w:val="002E6C43"/>
    <w:rsid w:val="002F0030"/>
    <w:rsid w:val="00317082"/>
    <w:rsid w:val="00324DB3"/>
    <w:rsid w:val="00324DF4"/>
    <w:rsid w:val="00325D71"/>
    <w:rsid w:val="0032621C"/>
    <w:rsid w:val="00331AFA"/>
    <w:rsid w:val="00336E75"/>
    <w:rsid w:val="0034001D"/>
    <w:rsid w:val="003466D7"/>
    <w:rsid w:val="00346ACA"/>
    <w:rsid w:val="003519FA"/>
    <w:rsid w:val="00356277"/>
    <w:rsid w:val="003607C7"/>
    <w:rsid w:val="00366698"/>
    <w:rsid w:val="00370F59"/>
    <w:rsid w:val="00371394"/>
    <w:rsid w:val="00373553"/>
    <w:rsid w:val="00380374"/>
    <w:rsid w:val="003858F1"/>
    <w:rsid w:val="0038705A"/>
    <w:rsid w:val="00387A28"/>
    <w:rsid w:val="00390EA1"/>
    <w:rsid w:val="00396167"/>
    <w:rsid w:val="003A46E3"/>
    <w:rsid w:val="003A5B1C"/>
    <w:rsid w:val="003B29F7"/>
    <w:rsid w:val="003B4C87"/>
    <w:rsid w:val="003C1B80"/>
    <w:rsid w:val="003C375D"/>
    <w:rsid w:val="003C6D71"/>
    <w:rsid w:val="003D03E4"/>
    <w:rsid w:val="003D49BD"/>
    <w:rsid w:val="003E59FA"/>
    <w:rsid w:val="003E7848"/>
    <w:rsid w:val="003F1667"/>
    <w:rsid w:val="003F239C"/>
    <w:rsid w:val="003F4D26"/>
    <w:rsid w:val="003F706B"/>
    <w:rsid w:val="003F7C7B"/>
    <w:rsid w:val="0040025E"/>
    <w:rsid w:val="00406A5C"/>
    <w:rsid w:val="00410FE2"/>
    <w:rsid w:val="00412980"/>
    <w:rsid w:val="004144E6"/>
    <w:rsid w:val="004156B2"/>
    <w:rsid w:val="00420059"/>
    <w:rsid w:val="004200AA"/>
    <w:rsid w:val="004207BD"/>
    <w:rsid w:val="00424297"/>
    <w:rsid w:val="0043255D"/>
    <w:rsid w:val="00434DE9"/>
    <w:rsid w:val="00435D26"/>
    <w:rsid w:val="00437734"/>
    <w:rsid w:val="00442907"/>
    <w:rsid w:val="00445244"/>
    <w:rsid w:val="0044780A"/>
    <w:rsid w:val="00463D51"/>
    <w:rsid w:val="00474F12"/>
    <w:rsid w:val="00477F5F"/>
    <w:rsid w:val="0048189C"/>
    <w:rsid w:val="0048228E"/>
    <w:rsid w:val="004862A5"/>
    <w:rsid w:val="00487387"/>
    <w:rsid w:val="004A0469"/>
    <w:rsid w:val="004A06A4"/>
    <w:rsid w:val="004A11AB"/>
    <w:rsid w:val="004A1F0C"/>
    <w:rsid w:val="004B4907"/>
    <w:rsid w:val="004B7990"/>
    <w:rsid w:val="004C0ABF"/>
    <w:rsid w:val="004C0ADB"/>
    <w:rsid w:val="004C2E01"/>
    <w:rsid w:val="004C51C9"/>
    <w:rsid w:val="004D59C4"/>
    <w:rsid w:val="004D6E4A"/>
    <w:rsid w:val="004E1234"/>
    <w:rsid w:val="004E14DC"/>
    <w:rsid w:val="004E1A95"/>
    <w:rsid w:val="004E65BA"/>
    <w:rsid w:val="004E788B"/>
    <w:rsid w:val="004F4AE3"/>
    <w:rsid w:val="004F4F5B"/>
    <w:rsid w:val="00501108"/>
    <w:rsid w:val="00501C7B"/>
    <w:rsid w:val="00511BC5"/>
    <w:rsid w:val="00511C84"/>
    <w:rsid w:val="00514190"/>
    <w:rsid w:val="00517BF0"/>
    <w:rsid w:val="00533390"/>
    <w:rsid w:val="00535598"/>
    <w:rsid w:val="00537E1D"/>
    <w:rsid w:val="0054034C"/>
    <w:rsid w:val="0054112E"/>
    <w:rsid w:val="00543A43"/>
    <w:rsid w:val="00543B73"/>
    <w:rsid w:val="005454EF"/>
    <w:rsid w:val="00546CA6"/>
    <w:rsid w:val="00546E5A"/>
    <w:rsid w:val="00547EE3"/>
    <w:rsid w:val="005502EF"/>
    <w:rsid w:val="00551B83"/>
    <w:rsid w:val="00551D8A"/>
    <w:rsid w:val="00566342"/>
    <w:rsid w:val="00567072"/>
    <w:rsid w:val="005673C2"/>
    <w:rsid w:val="00567EB7"/>
    <w:rsid w:val="00571C6C"/>
    <w:rsid w:val="005760C2"/>
    <w:rsid w:val="005808F9"/>
    <w:rsid w:val="0058199D"/>
    <w:rsid w:val="00581B36"/>
    <w:rsid w:val="00583E8E"/>
    <w:rsid w:val="00586933"/>
    <w:rsid w:val="005910D7"/>
    <w:rsid w:val="0059179C"/>
    <w:rsid w:val="00594CA1"/>
    <w:rsid w:val="005A03BB"/>
    <w:rsid w:val="005A0D4C"/>
    <w:rsid w:val="005A0DA6"/>
    <w:rsid w:val="005A6F03"/>
    <w:rsid w:val="005A76CC"/>
    <w:rsid w:val="005A7C69"/>
    <w:rsid w:val="005B666E"/>
    <w:rsid w:val="005C21D1"/>
    <w:rsid w:val="005D4890"/>
    <w:rsid w:val="005D54B1"/>
    <w:rsid w:val="005D5D29"/>
    <w:rsid w:val="005E19D0"/>
    <w:rsid w:val="005E39D5"/>
    <w:rsid w:val="005E61FE"/>
    <w:rsid w:val="005E7EBC"/>
    <w:rsid w:val="005F0C16"/>
    <w:rsid w:val="005F36E3"/>
    <w:rsid w:val="005F4FF1"/>
    <w:rsid w:val="005F61CF"/>
    <w:rsid w:val="005F7A24"/>
    <w:rsid w:val="00601EBD"/>
    <w:rsid w:val="006125CD"/>
    <w:rsid w:val="006128C8"/>
    <w:rsid w:val="006245F6"/>
    <w:rsid w:val="0062583A"/>
    <w:rsid w:val="00626555"/>
    <w:rsid w:val="0062788B"/>
    <w:rsid w:val="00627D7C"/>
    <w:rsid w:val="00636303"/>
    <w:rsid w:val="00643CD1"/>
    <w:rsid w:val="006475FB"/>
    <w:rsid w:val="006512E5"/>
    <w:rsid w:val="00653520"/>
    <w:rsid w:val="00654652"/>
    <w:rsid w:val="00656A06"/>
    <w:rsid w:val="00660882"/>
    <w:rsid w:val="00660BBD"/>
    <w:rsid w:val="00663063"/>
    <w:rsid w:val="006640FE"/>
    <w:rsid w:val="006711FF"/>
    <w:rsid w:val="00671467"/>
    <w:rsid w:val="00673062"/>
    <w:rsid w:val="00682C5E"/>
    <w:rsid w:val="00684EAA"/>
    <w:rsid w:val="00685644"/>
    <w:rsid w:val="00697093"/>
    <w:rsid w:val="006A15C6"/>
    <w:rsid w:val="006A21B3"/>
    <w:rsid w:val="006A27FE"/>
    <w:rsid w:val="006A3F32"/>
    <w:rsid w:val="006B2086"/>
    <w:rsid w:val="006B23AF"/>
    <w:rsid w:val="006B7B9B"/>
    <w:rsid w:val="006C17A3"/>
    <w:rsid w:val="006C44FB"/>
    <w:rsid w:val="006C4C81"/>
    <w:rsid w:val="006D30F3"/>
    <w:rsid w:val="006D35FE"/>
    <w:rsid w:val="006D44C0"/>
    <w:rsid w:val="006E36E5"/>
    <w:rsid w:val="006F4DE7"/>
    <w:rsid w:val="00703618"/>
    <w:rsid w:val="00710D77"/>
    <w:rsid w:val="00713B22"/>
    <w:rsid w:val="00717116"/>
    <w:rsid w:val="00717B6D"/>
    <w:rsid w:val="00717EE9"/>
    <w:rsid w:val="00721EB1"/>
    <w:rsid w:val="00725872"/>
    <w:rsid w:val="0073002A"/>
    <w:rsid w:val="00731E42"/>
    <w:rsid w:val="00737D61"/>
    <w:rsid w:val="00743C01"/>
    <w:rsid w:val="007534F4"/>
    <w:rsid w:val="0076036F"/>
    <w:rsid w:val="00773EAC"/>
    <w:rsid w:val="00775073"/>
    <w:rsid w:val="007778D4"/>
    <w:rsid w:val="00777EC9"/>
    <w:rsid w:val="00781985"/>
    <w:rsid w:val="00782C81"/>
    <w:rsid w:val="00783570"/>
    <w:rsid w:val="00785665"/>
    <w:rsid w:val="00787A77"/>
    <w:rsid w:val="00790C4A"/>
    <w:rsid w:val="007921AD"/>
    <w:rsid w:val="007922BE"/>
    <w:rsid w:val="007A3455"/>
    <w:rsid w:val="007A4E53"/>
    <w:rsid w:val="007B002E"/>
    <w:rsid w:val="007B1483"/>
    <w:rsid w:val="007B245D"/>
    <w:rsid w:val="007B3E88"/>
    <w:rsid w:val="007C0A0D"/>
    <w:rsid w:val="007C6596"/>
    <w:rsid w:val="007E0C21"/>
    <w:rsid w:val="007E3929"/>
    <w:rsid w:val="007E5074"/>
    <w:rsid w:val="007E5406"/>
    <w:rsid w:val="007E5BD2"/>
    <w:rsid w:val="007F0B49"/>
    <w:rsid w:val="007F29A6"/>
    <w:rsid w:val="00814403"/>
    <w:rsid w:val="0082086B"/>
    <w:rsid w:val="0082261A"/>
    <w:rsid w:val="00823070"/>
    <w:rsid w:val="0082457C"/>
    <w:rsid w:val="00833689"/>
    <w:rsid w:val="00834893"/>
    <w:rsid w:val="0084311A"/>
    <w:rsid w:val="008478B2"/>
    <w:rsid w:val="00851206"/>
    <w:rsid w:val="00860DCA"/>
    <w:rsid w:val="008614BF"/>
    <w:rsid w:val="008614CD"/>
    <w:rsid w:val="00865C89"/>
    <w:rsid w:val="00865DE5"/>
    <w:rsid w:val="008677C7"/>
    <w:rsid w:val="00871DB0"/>
    <w:rsid w:val="00872C98"/>
    <w:rsid w:val="00872F18"/>
    <w:rsid w:val="00874EF7"/>
    <w:rsid w:val="008778F7"/>
    <w:rsid w:val="00880593"/>
    <w:rsid w:val="00892168"/>
    <w:rsid w:val="00892475"/>
    <w:rsid w:val="008A0888"/>
    <w:rsid w:val="008A1526"/>
    <w:rsid w:val="008A4A43"/>
    <w:rsid w:val="008A6C9B"/>
    <w:rsid w:val="008B08D5"/>
    <w:rsid w:val="008B0F4B"/>
    <w:rsid w:val="008C01E5"/>
    <w:rsid w:val="008C0369"/>
    <w:rsid w:val="008C13A1"/>
    <w:rsid w:val="008C3925"/>
    <w:rsid w:val="008C4F5E"/>
    <w:rsid w:val="008D3A83"/>
    <w:rsid w:val="008D4AA1"/>
    <w:rsid w:val="008E06AB"/>
    <w:rsid w:val="008E0A95"/>
    <w:rsid w:val="008E2D03"/>
    <w:rsid w:val="008E3D33"/>
    <w:rsid w:val="008E4AC5"/>
    <w:rsid w:val="008E50C7"/>
    <w:rsid w:val="008F60D7"/>
    <w:rsid w:val="008F6625"/>
    <w:rsid w:val="00901FD6"/>
    <w:rsid w:val="009056D1"/>
    <w:rsid w:val="009122B6"/>
    <w:rsid w:val="00917F79"/>
    <w:rsid w:val="00920CFB"/>
    <w:rsid w:val="009232A1"/>
    <w:rsid w:val="009307AD"/>
    <w:rsid w:val="00937DF9"/>
    <w:rsid w:val="009453D7"/>
    <w:rsid w:val="00953360"/>
    <w:rsid w:val="00954876"/>
    <w:rsid w:val="009620C6"/>
    <w:rsid w:val="00967443"/>
    <w:rsid w:val="00971A1F"/>
    <w:rsid w:val="00977D1E"/>
    <w:rsid w:val="0098292D"/>
    <w:rsid w:val="00984D67"/>
    <w:rsid w:val="009907E9"/>
    <w:rsid w:val="00993FA4"/>
    <w:rsid w:val="00994250"/>
    <w:rsid w:val="009A40EC"/>
    <w:rsid w:val="009A4F69"/>
    <w:rsid w:val="009A76C8"/>
    <w:rsid w:val="009B6D14"/>
    <w:rsid w:val="009B7F7B"/>
    <w:rsid w:val="009C085C"/>
    <w:rsid w:val="009C285E"/>
    <w:rsid w:val="009C321A"/>
    <w:rsid w:val="009E0727"/>
    <w:rsid w:val="009E1205"/>
    <w:rsid w:val="009E2027"/>
    <w:rsid w:val="009E2199"/>
    <w:rsid w:val="009E3189"/>
    <w:rsid w:val="009E326D"/>
    <w:rsid w:val="009E37FD"/>
    <w:rsid w:val="009E40DC"/>
    <w:rsid w:val="009F13C3"/>
    <w:rsid w:val="009F376B"/>
    <w:rsid w:val="009F4542"/>
    <w:rsid w:val="009F5529"/>
    <w:rsid w:val="009F5CB6"/>
    <w:rsid w:val="009F65AF"/>
    <w:rsid w:val="00A036CA"/>
    <w:rsid w:val="00A03A73"/>
    <w:rsid w:val="00A05F3E"/>
    <w:rsid w:val="00A11978"/>
    <w:rsid w:val="00A13B37"/>
    <w:rsid w:val="00A150C1"/>
    <w:rsid w:val="00A223F7"/>
    <w:rsid w:val="00A34E0F"/>
    <w:rsid w:val="00A4077B"/>
    <w:rsid w:val="00A426AA"/>
    <w:rsid w:val="00A43875"/>
    <w:rsid w:val="00A47D11"/>
    <w:rsid w:val="00A52794"/>
    <w:rsid w:val="00A609A3"/>
    <w:rsid w:val="00A63677"/>
    <w:rsid w:val="00A6455C"/>
    <w:rsid w:val="00A67C21"/>
    <w:rsid w:val="00A70411"/>
    <w:rsid w:val="00A70FD7"/>
    <w:rsid w:val="00A75FA6"/>
    <w:rsid w:val="00A76D78"/>
    <w:rsid w:val="00A83399"/>
    <w:rsid w:val="00A86794"/>
    <w:rsid w:val="00A86A86"/>
    <w:rsid w:val="00A90A9C"/>
    <w:rsid w:val="00A91868"/>
    <w:rsid w:val="00A9257D"/>
    <w:rsid w:val="00A92EDE"/>
    <w:rsid w:val="00A96CEC"/>
    <w:rsid w:val="00AA1242"/>
    <w:rsid w:val="00AA6656"/>
    <w:rsid w:val="00AB1569"/>
    <w:rsid w:val="00AC03F2"/>
    <w:rsid w:val="00AC21BA"/>
    <w:rsid w:val="00AC3659"/>
    <w:rsid w:val="00AC6C20"/>
    <w:rsid w:val="00AC75BB"/>
    <w:rsid w:val="00AD07E6"/>
    <w:rsid w:val="00AD16C9"/>
    <w:rsid w:val="00AD269B"/>
    <w:rsid w:val="00AD4A17"/>
    <w:rsid w:val="00AE26A8"/>
    <w:rsid w:val="00AE317A"/>
    <w:rsid w:val="00AE46B0"/>
    <w:rsid w:val="00AE4807"/>
    <w:rsid w:val="00AE56A0"/>
    <w:rsid w:val="00AE63A9"/>
    <w:rsid w:val="00AE6ED9"/>
    <w:rsid w:val="00AF04CC"/>
    <w:rsid w:val="00AF0E66"/>
    <w:rsid w:val="00AF2A86"/>
    <w:rsid w:val="00AF48C0"/>
    <w:rsid w:val="00AF699B"/>
    <w:rsid w:val="00AF7BED"/>
    <w:rsid w:val="00B00343"/>
    <w:rsid w:val="00B02D1E"/>
    <w:rsid w:val="00B2185C"/>
    <w:rsid w:val="00B22018"/>
    <w:rsid w:val="00B242E2"/>
    <w:rsid w:val="00B30B4F"/>
    <w:rsid w:val="00B37675"/>
    <w:rsid w:val="00B55970"/>
    <w:rsid w:val="00B60A66"/>
    <w:rsid w:val="00B63423"/>
    <w:rsid w:val="00B663CC"/>
    <w:rsid w:val="00B66A21"/>
    <w:rsid w:val="00B722ED"/>
    <w:rsid w:val="00B74A57"/>
    <w:rsid w:val="00B77F66"/>
    <w:rsid w:val="00B8122A"/>
    <w:rsid w:val="00B9087E"/>
    <w:rsid w:val="00B913E8"/>
    <w:rsid w:val="00B92FCA"/>
    <w:rsid w:val="00B97171"/>
    <w:rsid w:val="00BA04F6"/>
    <w:rsid w:val="00BA1F33"/>
    <w:rsid w:val="00BA26ED"/>
    <w:rsid w:val="00BA3B78"/>
    <w:rsid w:val="00BA4370"/>
    <w:rsid w:val="00BA69BC"/>
    <w:rsid w:val="00BA7A6F"/>
    <w:rsid w:val="00BA7B60"/>
    <w:rsid w:val="00BA7D0E"/>
    <w:rsid w:val="00BB564D"/>
    <w:rsid w:val="00BC3F5D"/>
    <w:rsid w:val="00BC77BD"/>
    <w:rsid w:val="00BD2E80"/>
    <w:rsid w:val="00BD2EBA"/>
    <w:rsid w:val="00BD4281"/>
    <w:rsid w:val="00BD568D"/>
    <w:rsid w:val="00BD5C72"/>
    <w:rsid w:val="00BD6A86"/>
    <w:rsid w:val="00BE23D2"/>
    <w:rsid w:val="00BE285C"/>
    <w:rsid w:val="00BE4BE4"/>
    <w:rsid w:val="00BF65F3"/>
    <w:rsid w:val="00C00EA1"/>
    <w:rsid w:val="00C12257"/>
    <w:rsid w:val="00C13486"/>
    <w:rsid w:val="00C13753"/>
    <w:rsid w:val="00C228FC"/>
    <w:rsid w:val="00C242B0"/>
    <w:rsid w:val="00C31A0A"/>
    <w:rsid w:val="00C35017"/>
    <w:rsid w:val="00C36549"/>
    <w:rsid w:val="00C37C8B"/>
    <w:rsid w:val="00C407E8"/>
    <w:rsid w:val="00C53A04"/>
    <w:rsid w:val="00C55D06"/>
    <w:rsid w:val="00C566ED"/>
    <w:rsid w:val="00C56FB3"/>
    <w:rsid w:val="00C57652"/>
    <w:rsid w:val="00C578FB"/>
    <w:rsid w:val="00C604BD"/>
    <w:rsid w:val="00C6138A"/>
    <w:rsid w:val="00C661C3"/>
    <w:rsid w:val="00C7071E"/>
    <w:rsid w:val="00C74EA5"/>
    <w:rsid w:val="00C75E1F"/>
    <w:rsid w:val="00C80AF9"/>
    <w:rsid w:val="00C84669"/>
    <w:rsid w:val="00C84F67"/>
    <w:rsid w:val="00C8616E"/>
    <w:rsid w:val="00C86197"/>
    <w:rsid w:val="00CA147A"/>
    <w:rsid w:val="00CA4AEA"/>
    <w:rsid w:val="00CA58CE"/>
    <w:rsid w:val="00CB3B14"/>
    <w:rsid w:val="00CC4F3E"/>
    <w:rsid w:val="00CC599F"/>
    <w:rsid w:val="00CC7021"/>
    <w:rsid w:val="00CD2A08"/>
    <w:rsid w:val="00CE35C0"/>
    <w:rsid w:val="00CE3C9F"/>
    <w:rsid w:val="00CE62D0"/>
    <w:rsid w:val="00CE652D"/>
    <w:rsid w:val="00CE6EEB"/>
    <w:rsid w:val="00CF0482"/>
    <w:rsid w:val="00CF6993"/>
    <w:rsid w:val="00D0082E"/>
    <w:rsid w:val="00D05DC0"/>
    <w:rsid w:val="00D11019"/>
    <w:rsid w:val="00D11BB1"/>
    <w:rsid w:val="00D17A7A"/>
    <w:rsid w:val="00D22CE3"/>
    <w:rsid w:val="00D22FE6"/>
    <w:rsid w:val="00D27742"/>
    <w:rsid w:val="00D3415F"/>
    <w:rsid w:val="00D42A8B"/>
    <w:rsid w:val="00D4425A"/>
    <w:rsid w:val="00D46D84"/>
    <w:rsid w:val="00D507DD"/>
    <w:rsid w:val="00D55EF6"/>
    <w:rsid w:val="00D64B51"/>
    <w:rsid w:val="00D708D3"/>
    <w:rsid w:val="00D7665D"/>
    <w:rsid w:val="00D76AEE"/>
    <w:rsid w:val="00D812F6"/>
    <w:rsid w:val="00D81D9E"/>
    <w:rsid w:val="00D84116"/>
    <w:rsid w:val="00D96AE3"/>
    <w:rsid w:val="00DA4934"/>
    <w:rsid w:val="00DA49BE"/>
    <w:rsid w:val="00DA6A82"/>
    <w:rsid w:val="00DB3E7C"/>
    <w:rsid w:val="00DC1E9F"/>
    <w:rsid w:val="00DC200A"/>
    <w:rsid w:val="00DC3ED7"/>
    <w:rsid w:val="00DC4B8A"/>
    <w:rsid w:val="00DD21DD"/>
    <w:rsid w:val="00DD4E70"/>
    <w:rsid w:val="00DD6162"/>
    <w:rsid w:val="00DD680E"/>
    <w:rsid w:val="00DD7144"/>
    <w:rsid w:val="00DE5DEB"/>
    <w:rsid w:val="00DE5E35"/>
    <w:rsid w:val="00DF29C6"/>
    <w:rsid w:val="00DF59DE"/>
    <w:rsid w:val="00E03AE2"/>
    <w:rsid w:val="00E04D6D"/>
    <w:rsid w:val="00E0596B"/>
    <w:rsid w:val="00E07306"/>
    <w:rsid w:val="00E108BB"/>
    <w:rsid w:val="00E1100B"/>
    <w:rsid w:val="00E23CAF"/>
    <w:rsid w:val="00E25D52"/>
    <w:rsid w:val="00E31B16"/>
    <w:rsid w:val="00E33481"/>
    <w:rsid w:val="00E33DCD"/>
    <w:rsid w:val="00E35E0F"/>
    <w:rsid w:val="00E369B5"/>
    <w:rsid w:val="00E371D1"/>
    <w:rsid w:val="00E42A12"/>
    <w:rsid w:val="00E42EA7"/>
    <w:rsid w:val="00E523CA"/>
    <w:rsid w:val="00E53738"/>
    <w:rsid w:val="00E54017"/>
    <w:rsid w:val="00E5731E"/>
    <w:rsid w:val="00E57F1E"/>
    <w:rsid w:val="00E607E3"/>
    <w:rsid w:val="00E633B8"/>
    <w:rsid w:val="00E70661"/>
    <w:rsid w:val="00E71404"/>
    <w:rsid w:val="00E73DEF"/>
    <w:rsid w:val="00E744D1"/>
    <w:rsid w:val="00E749B6"/>
    <w:rsid w:val="00E75599"/>
    <w:rsid w:val="00E847F5"/>
    <w:rsid w:val="00E90984"/>
    <w:rsid w:val="00E9161D"/>
    <w:rsid w:val="00E94B81"/>
    <w:rsid w:val="00E965BC"/>
    <w:rsid w:val="00E96CBC"/>
    <w:rsid w:val="00E970B6"/>
    <w:rsid w:val="00EA03DB"/>
    <w:rsid w:val="00EA12AA"/>
    <w:rsid w:val="00EA5953"/>
    <w:rsid w:val="00EB2D61"/>
    <w:rsid w:val="00EB30C8"/>
    <w:rsid w:val="00EB62D7"/>
    <w:rsid w:val="00EC136C"/>
    <w:rsid w:val="00EC370A"/>
    <w:rsid w:val="00EC3C13"/>
    <w:rsid w:val="00EC4D6D"/>
    <w:rsid w:val="00ED33A1"/>
    <w:rsid w:val="00ED48E2"/>
    <w:rsid w:val="00ED5F67"/>
    <w:rsid w:val="00EE601D"/>
    <w:rsid w:val="00EE6477"/>
    <w:rsid w:val="00EF08AE"/>
    <w:rsid w:val="00EF5790"/>
    <w:rsid w:val="00F00AD8"/>
    <w:rsid w:val="00F03765"/>
    <w:rsid w:val="00F05D2A"/>
    <w:rsid w:val="00F1051C"/>
    <w:rsid w:val="00F10757"/>
    <w:rsid w:val="00F14D20"/>
    <w:rsid w:val="00F16646"/>
    <w:rsid w:val="00F21C71"/>
    <w:rsid w:val="00F32697"/>
    <w:rsid w:val="00F434B4"/>
    <w:rsid w:val="00F53735"/>
    <w:rsid w:val="00F56588"/>
    <w:rsid w:val="00F57425"/>
    <w:rsid w:val="00F60E6A"/>
    <w:rsid w:val="00F63412"/>
    <w:rsid w:val="00F6445F"/>
    <w:rsid w:val="00F647BC"/>
    <w:rsid w:val="00F65B19"/>
    <w:rsid w:val="00F6611C"/>
    <w:rsid w:val="00F71619"/>
    <w:rsid w:val="00F71A7A"/>
    <w:rsid w:val="00F75786"/>
    <w:rsid w:val="00F90869"/>
    <w:rsid w:val="00F910EB"/>
    <w:rsid w:val="00F91ADD"/>
    <w:rsid w:val="00F96A2F"/>
    <w:rsid w:val="00FA6904"/>
    <w:rsid w:val="00FB2392"/>
    <w:rsid w:val="00FB57E9"/>
    <w:rsid w:val="00FD15D7"/>
    <w:rsid w:val="00FE0C50"/>
    <w:rsid w:val="00FE34B9"/>
    <w:rsid w:val="00FE5E80"/>
    <w:rsid w:val="00FE6120"/>
    <w:rsid w:val="00FF0875"/>
    <w:rsid w:val="00FF0CA6"/>
    <w:rsid w:val="00FF14E8"/>
    <w:rsid w:val="00FF32BE"/>
    <w:rsid w:val="00FF3F47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CF6C0"/>
  <w15:docId w15:val="{CFA56775-7756-45FC-A58F-8D1463F4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0F6674"/>
    <w:pPr>
      <w:numPr>
        <w:numId w:val="21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21D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2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krishnan.%20nair@VDOT.Virgini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98F7-BB41-490E-9282-FF4EE970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Nair, Harikrishnan (VDOT)</cp:lastModifiedBy>
  <cp:revision>2</cp:revision>
  <cp:lastPrinted>2024-08-05T13:11:00Z</cp:lastPrinted>
  <dcterms:created xsi:type="dcterms:W3CDTF">2025-12-09T17:31:00Z</dcterms:created>
  <dcterms:modified xsi:type="dcterms:W3CDTF">2025-12-09T17:31:00Z</dcterms:modified>
</cp:coreProperties>
</file>