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TRANSPORTATION POOLED FUND PROGRAM</w:t>
      </w:r>
    </w:p>
    <w:p w14:paraId="5393256D"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QUARTERLY PROGRESS REPORT</w:t>
      </w:r>
    </w:p>
    <w:p w14:paraId="4F0F97F8" w14:textId="77777777" w:rsidR="00551D8A" w:rsidRPr="005F7F3E" w:rsidRDefault="00551D8A" w:rsidP="00551D8A">
      <w:pPr>
        <w:spacing w:after="0"/>
        <w:rPr>
          <w:rFonts w:ascii="Arial" w:hAnsi="Arial" w:cs="Arial"/>
          <w:sz w:val="24"/>
          <w:szCs w:val="24"/>
        </w:rPr>
      </w:pPr>
    </w:p>
    <w:p w14:paraId="2907772B" w14:textId="684A25FC" w:rsidR="00FF32BE" w:rsidRPr="005F7F3E" w:rsidRDefault="00551D8A" w:rsidP="001F50EC">
      <w:pPr>
        <w:spacing w:after="0"/>
        <w:ind w:left="-720" w:right="-720"/>
        <w:rPr>
          <w:rFonts w:ascii="Arial" w:hAnsi="Arial" w:cs="Arial"/>
          <w:sz w:val="24"/>
          <w:szCs w:val="24"/>
        </w:rPr>
      </w:pPr>
      <w:r w:rsidRPr="005F7F3E">
        <w:rPr>
          <w:rFonts w:ascii="Arial" w:hAnsi="Arial" w:cs="Arial"/>
          <w:sz w:val="24"/>
          <w:szCs w:val="24"/>
        </w:rPr>
        <w:t>Lead Agency</w:t>
      </w:r>
      <w:r w:rsidR="00FF32BE" w:rsidRPr="005F7F3E">
        <w:rPr>
          <w:rFonts w:ascii="Arial" w:hAnsi="Arial" w:cs="Arial"/>
          <w:sz w:val="24"/>
          <w:szCs w:val="24"/>
        </w:rPr>
        <w:t xml:space="preserve"> (FHWA or State DOT)</w:t>
      </w:r>
      <w:r w:rsidRPr="005F7F3E">
        <w:rPr>
          <w:rFonts w:ascii="Arial" w:hAnsi="Arial" w:cs="Arial"/>
          <w:sz w:val="24"/>
          <w:szCs w:val="24"/>
        </w:rPr>
        <w:t>:</w:t>
      </w:r>
      <w:r w:rsidR="00FF32BE" w:rsidRPr="005F7F3E">
        <w:rPr>
          <w:rFonts w:ascii="Arial" w:hAnsi="Arial" w:cs="Arial"/>
          <w:sz w:val="24"/>
          <w:szCs w:val="24"/>
        </w:rPr>
        <w:t xml:space="preserve">  </w:t>
      </w:r>
      <w:r w:rsidR="001F50EC" w:rsidRPr="005F7F3E">
        <w:rPr>
          <w:rFonts w:ascii="Arial" w:hAnsi="Arial" w:cs="Arial"/>
          <w:sz w:val="24"/>
          <w:szCs w:val="24"/>
        </w:rPr>
        <w:t>Missouri DOT</w:t>
      </w:r>
    </w:p>
    <w:p w14:paraId="1E7376E1" w14:textId="77777777" w:rsidR="00551D8A" w:rsidRPr="005F7F3E" w:rsidRDefault="00551D8A" w:rsidP="00551D8A">
      <w:pPr>
        <w:spacing w:after="0"/>
        <w:ind w:left="-720" w:right="-720"/>
        <w:rPr>
          <w:rFonts w:ascii="Arial" w:hAnsi="Arial" w:cs="Arial"/>
          <w:b/>
          <w:sz w:val="24"/>
          <w:szCs w:val="24"/>
        </w:rPr>
      </w:pPr>
      <w:r w:rsidRPr="005F7F3E">
        <w:rPr>
          <w:rFonts w:ascii="Arial" w:hAnsi="Arial" w:cs="Arial"/>
          <w:b/>
          <w:sz w:val="24"/>
          <w:szCs w:val="24"/>
        </w:rPr>
        <w:t>INSTRUCTIONS:</w:t>
      </w:r>
    </w:p>
    <w:p w14:paraId="4EA44970" w14:textId="19DE09DC" w:rsidR="00551D8A" w:rsidRPr="005F7F3E" w:rsidRDefault="00B154D7" w:rsidP="00551D8A">
      <w:pPr>
        <w:spacing w:after="0"/>
        <w:ind w:left="-720" w:right="-720"/>
        <w:rPr>
          <w:rFonts w:ascii="Arial" w:hAnsi="Arial" w:cs="Arial"/>
          <w:i/>
          <w:sz w:val="24"/>
          <w:szCs w:val="24"/>
        </w:rPr>
      </w:pPr>
      <w:r w:rsidRPr="005F7F3E">
        <w:rPr>
          <w:rFonts w:ascii="Arial" w:hAnsi="Arial" w:cs="Arial"/>
          <w:i/>
          <w:sz w:val="24"/>
          <w:szCs w:val="24"/>
        </w:rPr>
        <w:t xml:space="preserve">Lead Agency contacts </w:t>
      </w:r>
      <w:r w:rsidR="00872F18" w:rsidRPr="005F7F3E">
        <w:rPr>
          <w:rFonts w:ascii="Arial" w:hAnsi="Arial" w:cs="Arial"/>
          <w:i/>
          <w:sz w:val="24"/>
          <w:szCs w:val="24"/>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5F7F3E">
        <w:rPr>
          <w:rFonts w:ascii="Arial" w:hAnsi="Arial" w:cs="Arial"/>
          <w:i/>
          <w:sz w:val="24"/>
          <w:szCs w:val="24"/>
        </w:rPr>
        <w:t>current status</w:t>
      </w:r>
      <w:proofErr w:type="gramEnd"/>
      <w:r w:rsidR="00872F18" w:rsidRPr="005F7F3E">
        <w:rPr>
          <w:rFonts w:ascii="Arial" w:hAnsi="Arial" w:cs="Arial"/>
          <w:i/>
          <w:sz w:val="24"/>
          <w:szCs w:val="24"/>
        </w:rPr>
        <w:t>, including accomplishments and problems encountered, if any.  List all tasks, even if no work was done during this period.</w:t>
      </w:r>
    </w:p>
    <w:p w14:paraId="0FA23445" w14:textId="77777777" w:rsidR="00551D8A" w:rsidRPr="005F7F3E"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064"/>
        <w:gridCol w:w="1238"/>
        <w:gridCol w:w="2011"/>
        <w:gridCol w:w="3595"/>
      </w:tblGrid>
      <w:tr w:rsidR="00551D8A" w:rsidRPr="005F7F3E" w14:paraId="7B520428" w14:textId="77777777" w:rsidTr="00743C01">
        <w:trPr>
          <w:trHeight w:val="1997"/>
        </w:trPr>
        <w:tc>
          <w:tcPr>
            <w:tcW w:w="5418" w:type="dxa"/>
            <w:gridSpan w:val="2"/>
          </w:tcPr>
          <w:p w14:paraId="5CBBE1BA"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 xml:space="preserve">Transportation </w:t>
            </w:r>
            <w:r w:rsidR="00551D8A" w:rsidRPr="005F7F3E">
              <w:rPr>
                <w:rFonts w:ascii="Arial" w:hAnsi="Arial" w:cs="Arial"/>
                <w:b/>
                <w:sz w:val="24"/>
                <w:szCs w:val="24"/>
              </w:rPr>
              <w:t xml:space="preserve">Pooled Fund </w:t>
            </w:r>
            <w:r w:rsidRPr="005F7F3E">
              <w:rPr>
                <w:rFonts w:ascii="Arial" w:hAnsi="Arial" w:cs="Arial"/>
                <w:b/>
                <w:sz w:val="24"/>
                <w:szCs w:val="24"/>
              </w:rPr>
              <w:t xml:space="preserve">Program </w:t>
            </w:r>
            <w:r w:rsidR="00551D8A" w:rsidRPr="005F7F3E">
              <w:rPr>
                <w:rFonts w:ascii="Arial" w:hAnsi="Arial" w:cs="Arial"/>
                <w:b/>
                <w:sz w:val="24"/>
                <w:szCs w:val="24"/>
              </w:rPr>
              <w:t>Project #</w:t>
            </w:r>
          </w:p>
          <w:p w14:paraId="2ECF9249" w14:textId="72459212" w:rsidR="00872F18" w:rsidRPr="005F7F3E" w:rsidRDefault="00872F18" w:rsidP="00551D8A">
            <w:pPr>
              <w:ind w:right="-720"/>
              <w:rPr>
                <w:rFonts w:ascii="Arial" w:hAnsi="Arial" w:cs="Arial"/>
                <w:i/>
                <w:sz w:val="24"/>
                <w:szCs w:val="24"/>
              </w:rPr>
            </w:pPr>
            <w:r w:rsidRPr="005F7F3E">
              <w:rPr>
                <w:rFonts w:ascii="Arial" w:hAnsi="Arial" w:cs="Arial"/>
                <w:i/>
                <w:sz w:val="24"/>
                <w:szCs w:val="24"/>
              </w:rPr>
              <w:t>TPF-5(</w:t>
            </w:r>
            <w:r w:rsidR="00310C7C" w:rsidRPr="005F7F3E">
              <w:rPr>
                <w:rFonts w:ascii="Arial" w:hAnsi="Arial" w:cs="Arial"/>
                <w:i/>
                <w:sz w:val="24"/>
                <w:szCs w:val="24"/>
              </w:rPr>
              <w:t>539</w:t>
            </w:r>
            <w:r w:rsidRPr="005F7F3E">
              <w:rPr>
                <w:rFonts w:ascii="Arial" w:hAnsi="Arial" w:cs="Arial"/>
                <w:i/>
                <w:sz w:val="24"/>
                <w:szCs w:val="24"/>
              </w:rPr>
              <w:t>)</w:t>
            </w:r>
          </w:p>
          <w:p w14:paraId="6C2BBBB4" w14:textId="77777777" w:rsidR="00E35E0F" w:rsidRPr="005F7F3E" w:rsidRDefault="00E35E0F" w:rsidP="00551D8A">
            <w:pPr>
              <w:ind w:right="-720"/>
              <w:rPr>
                <w:rFonts w:ascii="Arial" w:hAnsi="Arial" w:cs="Arial"/>
                <w:i/>
                <w:sz w:val="24"/>
                <w:szCs w:val="24"/>
              </w:rPr>
            </w:pPr>
          </w:p>
          <w:p w14:paraId="64CCE9A4" w14:textId="77777777" w:rsidR="00E35E0F" w:rsidRPr="005F7F3E" w:rsidRDefault="00E35E0F" w:rsidP="00551D8A">
            <w:pPr>
              <w:ind w:right="-720"/>
              <w:rPr>
                <w:rFonts w:ascii="Arial" w:hAnsi="Arial" w:cs="Arial"/>
                <w:sz w:val="24"/>
                <w:szCs w:val="24"/>
              </w:rPr>
            </w:pPr>
          </w:p>
        </w:tc>
        <w:tc>
          <w:tcPr>
            <w:tcW w:w="5490" w:type="dxa"/>
            <w:gridSpan w:val="2"/>
          </w:tcPr>
          <w:p w14:paraId="242C1F28"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Transportation Pooled Fund Program - Report P</w:t>
            </w:r>
            <w:r w:rsidR="00551D8A" w:rsidRPr="005F7F3E">
              <w:rPr>
                <w:rFonts w:ascii="Arial" w:hAnsi="Arial" w:cs="Arial"/>
                <w:b/>
                <w:sz w:val="24"/>
                <w:szCs w:val="24"/>
              </w:rPr>
              <w:t>eriod:</w:t>
            </w:r>
          </w:p>
          <w:p w14:paraId="4BB40E8F"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1 (January 1 – March 31)</w:t>
            </w:r>
          </w:p>
          <w:p w14:paraId="559F534C"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2 (April 1 – June 30)</w:t>
            </w:r>
          </w:p>
          <w:p w14:paraId="5C4B7229"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3 (July 1 – September 30)</w:t>
            </w:r>
          </w:p>
          <w:p w14:paraId="556769C8"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w:t>
            </w:r>
            <w:r w:rsidR="00581B36" w:rsidRPr="005F7F3E">
              <w:rPr>
                <w:rFonts w:ascii="Arial" w:hAnsi="Arial" w:cs="Arial"/>
                <w:sz w:val="24"/>
                <w:szCs w:val="24"/>
              </w:rPr>
              <w:t>Quarter 4 (October 1</w:t>
            </w:r>
            <w:r w:rsidRPr="005F7F3E">
              <w:rPr>
                <w:rFonts w:ascii="Arial" w:hAnsi="Arial" w:cs="Arial"/>
                <w:sz w:val="24"/>
                <w:szCs w:val="24"/>
              </w:rPr>
              <w:t xml:space="preserve"> – December 31)</w:t>
            </w:r>
          </w:p>
        </w:tc>
      </w:tr>
      <w:tr w:rsidR="00743C01" w:rsidRPr="005F7F3E" w14:paraId="2EA80DA2" w14:textId="77777777" w:rsidTr="00874EF7">
        <w:tc>
          <w:tcPr>
            <w:tcW w:w="10908" w:type="dxa"/>
            <w:gridSpan w:val="4"/>
          </w:tcPr>
          <w:p w14:paraId="14765EF5" w14:textId="44B4224E" w:rsidR="00743C01" w:rsidRPr="005F7F3E" w:rsidRDefault="00B154D7" w:rsidP="00551D8A">
            <w:pPr>
              <w:ind w:right="-720"/>
              <w:rPr>
                <w:rFonts w:ascii="Arial" w:hAnsi="Arial" w:cs="Arial"/>
                <w:b/>
                <w:sz w:val="24"/>
                <w:szCs w:val="24"/>
              </w:rPr>
            </w:pPr>
            <w:r w:rsidRPr="005F7F3E">
              <w:rPr>
                <w:rFonts w:ascii="Arial" w:hAnsi="Arial" w:cs="Arial"/>
                <w:b/>
                <w:sz w:val="24"/>
                <w:szCs w:val="24"/>
              </w:rPr>
              <w:t>TPF Study Number and Title</w:t>
            </w:r>
            <w:r w:rsidR="00743C01" w:rsidRPr="005F7F3E">
              <w:rPr>
                <w:rFonts w:ascii="Arial" w:hAnsi="Arial" w:cs="Arial"/>
                <w:b/>
                <w:sz w:val="24"/>
                <w:szCs w:val="24"/>
              </w:rPr>
              <w:t>:</w:t>
            </w:r>
          </w:p>
          <w:p w14:paraId="1C258A30" w14:textId="2994DAA7" w:rsidR="00535598" w:rsidRPr="005F7F3E" w:rsidRDefault="00E03D41" w:rsidP="00551D8A">
            <w:pPr>
              <w:ind w:right="-720"/>
              <w:rPr>
                <w:rFonts w:ascii="Arial" w:hAnsi="Arial" w:cs="Arial"/>
                <w:iCs/>
                <w:sz w:val="24"/>
                <w:szCs w:val="24"/>
              </w:rPr>
            </w:pPr>
            <w:r w:rsidRPr="005F7F3E">
              <w:rPr>
                <w:rFonts w:ascii="Arial" w:hAnsi="Arial" w:cs="Arial"/>
                <w:iCs/>
                <w:sz w:val="24"/>
                <w:szCs w:val="24"/>
              </w:rPr>
              <w:t>TPF-5(539) Establishment of a Public-Private Transportation Data Exchange Center</w:t>
            </w:r>
          </w:p>
          <w:p w14:paraId="67331B37" w14:textId="77777777" w:rsidR="00743C01" w:rsidRPr="005F7F3E" w:rsidRDefault="00743C01" w:rsidP="00551D8A">
            <w:pPr>
              <w:ind w:right="-720"/>
              <w:rPr>
                <w:rFonts w:ascii="Arial" w:hAnsi="Arial" w:cs="Arial"/>
                <w:sz w:val="24"/>
                <w:szCs w:val="24"/>
              </w:rPr>
            </w:pPr>
          </w:p>
        </w:tc>
      </w:tr>
      <w:tr w:rsidR="00743C01" w:rsidRPr="005F7F3E" w14:paraId="29A96DC5" w14:textId="77777777" w:rsidTr="00C13753">
        <w:tc>
          <w:tcPr>
            <w:tcW w:w="4158" w:type="dxa"/>
          </w:tcPr>
          <w:p w14:paraId="7B4E9DD8"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Lead Agency Contact:</w:t>
            </w:r>
          </w:p>
          <w:p w14:paraId="001FD4F9" w14:textId="1B0CC33B"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 Harper</w:t>
            </w:r>
          </w:p>
        </w:tc>
        <w:tc>
          <w:tcPr>
            <w:tcW w:w="3330" w:type="dxa"/>
            <w:gridSpan w:val="2"/>
          </w:tcPr>
          <w:p w14:paraId="4E3DEDFE"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Phone Number:</w:t>
            </w:r>
          </w:p>
          <w:p w14:paraId="603A151E" w14:textId="70387F0F" w:rsidR="008A5DE7" w:rsidRPr="005F7F3E" w:rsidRDefault="008A5DE7" w:rsidP="00551D8A">
            <w:pPr>
              <w:ind w:right="-720"/>
              <w:rPr>
                <w:rFonts w:ascii="Arial" w:hAnsi="Arial" w:cs="Arial"/>
                <w:bCs/>
                <w:sz w:val="24"/>
                <w:szCs w:val="24"/>
              </w:rPr>
            </w:pPr>
            <w:r w:rsidRPr="005F7F3E">
              <w:rPr>
                <w:rFonts w:ascii="Arial" w:hAnsi="Arial" w:cs="Arial"/>
                <w:bCs/>
                <w:sz w:val="24"/>
                <w:szCs w:val="24"/>
              </w:rPr>
              <w:t>573-526-3636</w:t>
            </w:r>
          </w:p>
        </w:tc>
        <w:tc>
          <w:tcPr>
            <w:tcW w:w="3420" w:type="dxa"/>
          </w:tcPr>
          <w:p w14:paraId="2F4916BD" w14:textId="11E8B698"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E-Mail</w:t>
            </w:r>
          </w:p>
          <w:p w14:paraId="459E789F" w14:textId="45E113AE"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Jennifer.harper@modot.mo.gov</w:t>
            </w:r>
          </w:p>
          <w:p w14:paraId="21FA15AC" w14:textId="77777777" w:rsidR="00535598" w:rsidRPr="005F7F3E" w:rsidRDefault="00535598" w:rsidP="00551D8A">
            <w:pPr>
              <w:ind w:right="-720"/>
              <w:rPr>
                <w:rFonts w:ascii="Arial" w:hAnsi="Arial" w:cs="Arial"/>
                <w:sz w:val="24"/>
                <w:szCs w:val="24"/>
              </w:rPr>
            </w:pPr>
          </w:p>
          <w:p w14:paraId="121E2621" w14:textId="77777777" w:rsidR="004156B2" w:rsidRPr="005F7F3E" w:rsidRDefault="004156B2" w:rsidP="00551D8A">
            <w:pPr>
              <w:ind w:right="-720"/>
              <w:rPr>
                <w:rFonts w:ascii="Arial" w:hAnsi="Arial" w:cs="Arial"/>
                <w:sz w:val="24"/>
                <w:szCs w:val="24"/>
              </w:rPr>
            </w:pPr>
          </w:p>
        </w:tc>
      </w:tr>
      <w:tr w:rsidR="00535598" w:rsidRPr="005F7F3E" w14:paraId="31D9F321" w14:textId="77777777" w:rsidTr="00C13753">
        <w:tc>
          <w:tcPr>
            <w:tcW w:w="4158" w:type="dxa"/>
          </w:tcPr>
          <w:p w14:paraId="1BD524B0"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Lead Agency Project ID:</w:t>
            </w:r>
          </w:p>
          <w:p w14:paraId="63E4F7BB" w14:textId="56A0A418" w:rsidR="00C51BC0" w:rsidRPr="005F7F3E" w:rsidRDefault="00C51BC0" w:rsidP="0003476C">
            <w:pPr>
              <w:ind w:right="-720"/>
              <w:rPr>
                <w:rFonts w:ascii="Arial" w:hAnsi="Arial" w:cs="Arial"/>
                <w:bCs/>
                <w:sz w:val="24"/>
                <w:szCs w:val="24"/>
              </w:rPr>
            </w:pPr>
            <w:r w:rsidRPr="005F7F3E">
              <w:rPr>
                <w:rFonts w:ascii="Arial" w:hAnsi="Arial" w:cs="Arial"/>
                <w:bCs/>
                <w:sz w:val="24"/>
                <w:szCs w:val="24"/>
              </w:rPr>
              <w:t>S090201C</w:t>
            </w:r>
          </w:p>
        </w:tc>
        <w:tc>
          <w:tcPr>
            <w:tcW w:w="3330" w:type="dxa"/>
            <w:gridSpan w:val="2"/>
          </w:tcPr>
          <w:p w14:paraId="5AA3E8F7"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Other Project ID (i.e., contract #):</w:t>
            </w:r>
          </w:p>
          <w:p w14:paraId="6200A09E" w14:textId="5C278B89" w:rsidR="00C51BC0" w:rsidRPr="005F7F3E" w:rsidRDefault="00C51BC0" w:rsidP="0003476C">
            <w:pPr>
              <w:ind w:right="-720"/>
              <w:rPr>
                <w:rFonts w:ascii="Arial" w:hAnsi="Arial" w:cs="Arial"/>
                <w:bCs/>
                <w:sz w:val="24"/>
                <w:szCs w:val="24"/>
              </w:rPr>
            </w:pPr>
            <w:r w:rsidRPr="005F7F3E">
              <w:rPr>
                <w:rFonts w:ascii="Arial" w:hAnsi="Arial" w:cs="Arial"/>
                <w:bCs/>
                <w:sz w:val="24"/>
                <w:szCs w:val="24"/>
              </w:rPr>
              <w:t>TR202501</w:t>
            </w:r>
          </w:p>
        </w:tc>
        <w:tc>
          <w:tcPr>
            <w:tcW w:w="3420" w:type="dxa"/>
          </w:tcPr>
          <w:p w14:paraId="4D1EA583"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Project Start Date:</w:t>
            </w:r>
          </w:p>
          <w:p w14:paraId="2D77E549" w14:textId="6601DDE9" w:rsidR="00C51BC0" w:rsidRPr="005F7F3E" w:rsidRDefault="00C51BC0" w:rsidP="0003476C">
            <w:pPr>
              <w:ind w:right="-720"/>
              <w:rPr>
                <w:rFonts w:ascii="Arial" w:hAnsi="Arial" w:cs="Arial"/>
                <w:bCs/>
                <w:sz w:val="24"/>
                <w:szCs w:val="24"/>
              </w:rPr>
            </w:pPr>
            <w:r w:rsidRPr="005F7F3E">
              <w:rPr>
                <w:rFonts w:ascii="Arial" w:hAnsi="Arial" w:cs="Arial"/>
                <w:bCs/>
                <w:sz w:val="24"/>
                <w:szCs w:val="24"/>
              </w:rPr>
              <w:t>December 1, 2024</w:t>
            </w:r>
          </w:p>
          <w:p w14:paraId="2BC083CF" w14:textId="77777777" w:rsidR="00535598" w:rsidRPr="005F7F3E" w:rsidRDefault="00535598" w:rsidP="0003476C">
            <w:pPr>
              <w:ind w:right="-720"/>
              <w:rPr>
                <w:rFonts w:ascii="Arial" w:hAnsi="Arial" w:cs="Arial"/>
                <w:sz w:val="24"/>
                <w:szCs w:val="24"/>
              </w:rPr>
            </w:pPr>
          </w:p>
          <w:p w14:paraId="138D6149" w14:textId="77777777" w:rsidR="00535598" w:rsidRPr="005F7F3E" w:rsidRDefault="00535598" w:rsidP="0003476C">
            <w:pPr>
              <w:ind w:right="-720"/>
              <w:rPr>
                <w:rFonts w:ascii="Arial" w:hAnsi="Arial" w:cs="Arial"/>
                <w:sz w:val="24"/>
                <w:szCs w:val="24"/>
              </w:rPr>
            </w:pPr>
          </w:p>
        </w:tc>
      </w:tr>
      <w:tr w:rsidR="00B154D7" w:rsidRPr="005F7F3E" w14:paraId="5F8EAA4E" w14:textId="77777777" w:rsidTr="00C13753">
        <w:tc>
          <w:tcPr>
            <w:tcW w:w="4158" w:type="dxa"/>
          </w:tcPr>
          <w:p w14:paraId="0B55C2B2"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Start Date:</w:t>
            </w:r>
          </w:p>
          <w:p w14:paraId="11510904" w14:textId="34D0E79B" w:rsidR="00B3284B" w:rsidRPr="005F7F3E" w:rsidRDefault="00B3284B" w:rsidP="00B154D7">
            <w:pPr>
              <w:ind w:right="-720"/>
              <w:rPr>
                <w:rFonts w:ascii="Arial" w:hAnsi="Arial" w:cs="Arial"/>
                <w:bCs/>
                <w:sz w:val="24"/>
                <w:szCs w:val="24"/>
              </w:rPr>
            </w:pPr>
            <w:r w:rsidRPr="005F7F3E">
              <w:rPr>
                <w:rFonts w:ascii="Arial" w:hAnsi="Arial" w:cs="Arial"/>
                <w:bCs/>
                <w:sz w:val="24"/>
                <w:szCs w:val="24"/>
              </w:rPr>
              <w:t>December 1, 2024</w:t>
            </w:r>
          </w:p>
        </w:tc>
        <w:tc>
          <w:tcPr>
            <w:tcW w:w="3330" w:type="dxa"/>
            <w:gridSpan w:val="2"/>
          </w:tcPr>
          <w:p w14:paraId="5B38032F"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End Date:</w:t>
            </w:r>
          </w:p>
          <w:p w14:paraId="6CD391A0" w14:textId="67C7472A" w:rsidR="00B3284B" w:rsidRPr="005F7F3E" w:rsidRDefault="00B3284B" w:rsidP="00B154D7">
            <w:pPr>
              <w:ind w:right="-720"/>
              <w:rPr>
                <w:rFonts w:ascii="Arial" w:hAnsi="Arial" w:cs="Arial"/>
                <w:bCs/>
                <w:sz w:val="24"/>
                <w:szCs w:val="24"/>
              </w:rPr>
            </w:pPr>
            <w:r w:rsidRPr="005F7F3E">
              <w:rPr>
                <w:rFonts w:ascii="Arial" w:hAnsi="Arial" w:cs="Arial"/>
                <w:bCs/>
                <w:sz w:val="24"/>
                <w:szCs w:val="24"/>
              </w:rPr>
              <w:t>November 30, 2028</w:t>
            </w:r>
          </w:p>
        </w:tc>
        <w:tc>
          <w:tcPr>
            <w:tcW w:w="3420" w:type="dxa"/>
          </w:tcPr>
          <w:p w14:paraId="0B86A9A7" w14:textId="374F3D70" w:rsidR="00B154D7" w:rsidRPr="005F7F3E" w:rsidRDefault="00B154D7" w:rsidP="00B154D7">
            <w:pPr>
              <w:ind w:right="-720"/>
              <w:rPr>
                <w:rFonts w:ascii="Arial" w:hAnsi="Arial" w:cs="Arial"/>
                <w:b/>
                <w:sz w:val="24"/>
                <w:szCs w:val="24"/>
              </w:rPr>
            </w:pPr>
            <w:r w:rsidRPr="005F7F3E">
              <w:rPr>
                <w:rFonts w:ascii="Arial" w:hAnsi="Arial" w:cs="Arial"/>
                <w:b/>
                <w:sz w:val="24"/>
                <w:szCs w:val="24"/>
              </w:rPr>
              <w:t xml:space="preserve">If Extension has been requested, updated project End Date: </w:t>
            </w:r>
          </w:p>
          <w:p w14:paraId="48272F54" w14:textId="77777777" w:rsidR="00B154D7" w:rsidRPr="005F7F3E" w:rsidRDefault="00B154D7" w:rsidP="00B154D7">
            <w:pPr>
              <w:ind w:right="-720"/>
              <w:rPr>
                <w:rFonts w:ascii="Arial" w:hAnsi="Arial" w:cs="Arial"/>
                <w:sz w:val="24"/>
                <w:szCs w:val="24"/>
              </w:rPr>
            </w:pPr>
          </w:p>
          <w:p w14:paraId="224F842E" w14:textId="77777777" w:rsidR="00B154D7" w:rsidRPr="005F7F3E" w:rsidRDefault="00B154D7" w:rsidP="00B154D7">
            <w:pPr>
              <w:ind w:right="-720"/>
              <w:rPr>
                <w:rFonts w:ascii="Arial" w:hAnsi="Arial" w:cs="Arial"/>
                <w:sz w:val="24"/>
                <w:szCs w:val="24"/>
              </w:rPr>
            </w:pPr>
          </w:p>
        </w:tc>
      </w:tr>
    </w:tbl>
    <w:p w14:paraId="7F286B1E" w14:textId="77777777" w:rsidR="00551D8A" w:rsidRPr="005F7F3E" w:rsidRDefault="00551D8A" w:rsidP="00551D8A">
      <w:pPr>
        <w:spacing w:after="0"/>
        <w:ind w:left="-720" w:right="-720"/>
        <w:rPr>
          <w:rFonts w:ascii="Arial" w:hAnsi="Arial" w:cs="Arial"/>
          <w:sz w:val="24"/>
          <w:szCs w:val="24"/>
        </w:rPr>
      </w:pPr>
    </w:p>
    <w:p w14:paraId="4CA2569C" w14:textId="77777777" w:rsidR="00743C01" w:rsidRPr="005F7F3E" w:rsidRDefault="00743C01" w:rsidP="00551D8A">
      <w:pPr>
        <w:spacing w:after="0"/>
        <w:ind w:left="-720" w:right="-720"/>
        <w:rPr>
          <w:rFonts w:ascii="Arial" w:hAnsi="Arial" w:cs="Arial"/>
          <w:sz w:val="24"/>
          <w:szCs w:val="24"/>
        </w:rPr>
      </w:pPr>
      <w:r w:rsidRPr="005F7F3E">
        <w:rPr>
          <w:rFonts w:ascii="Arial" w:hAnsi="Arial" w:cs="Arial"/>
          <w:sz w:val="24"/>
          <w:szCs w:val="24"/>
        </w:rPr>
        <w:t>Project schedule status:</w:t>
      </w:r>
    </w:p>
    <w:p w14:paraId="0AE16A21" w14:textId="77777777" w:rsidR="00743C01" w:rsidRPr="005F7F3E" w:rsidRDefault="00743C01" w:rsidP="00551D8A">
      <w:pPr>
        <w:spacing w:after="0"/>
        <w:ind w:left="-720" w:right="-720"/>
        <w:rPr>
          <w:rFonts w:ascii="Arial" w:hAnsi="Arial" w:cs="Arial"/>
          <w:sz w:val="24"/>
          <w:szCs w:val="24"/>
        </w:rPr>
      </w:pPr>
      <w:r w:rsidRPr="005F7F3E">
        <w:rPr>
          <w:rFonts w:ascii="Arial" w:hAnsi="Arial" w:cs="Arial"/>
          <w:sz w:val="24"/>
          <w:szCs w:val="24"/>
        </w:rPr>
        <w:t>□ On schedule</w:t>
      </w:r>
      <w:r w:rsidRPr="005F7F3E">
        <w:rPr>
          <w:rFonts w:ascii="Arial" w:hAnsi="Arial" w:cs="Arial"/>
          <w:sz w:val="24"/>
          <w:szCs w:val="24"/>
        </w:rPr>
        <w:tab/>
        <w:t>□ On revised schedule</w:t>
      </w:r>
      <w:r w:rsidRPr="005F7F3E">
        <w:rPr>
          <w:rFonts w:ascii="Arial" w:hAnsi="Arial" w:cs="Arial"/>
          <w:sz w:val="24"/>
          <w:szCs w:val="24"/>
        </w:rPr>
        <w:tab/>
      </w:r>
      <w:r w:rsidRPr="005F7F3E">
        <w:rPr>
          <w:rFonts w:ascii="Arial" w:hAnsi="Arial" w:cs="Arial"/>
          <w:sz w:val="24"/>
          <w:szCs w:val="24"/>
        </w:rPr>
        <w:tab/>
        <w:t>□ Ahead of schedule</w:t>
      </w:r>
      <w:r w:rsidRPr="005F7F3E">
        <w:rPr>
          <w:rFonts w:ascii="Arial" w:hAnsi="Arial" w:cs="Arial"/>
          <w:sz w:val="24"/>
          <w:szCs w:val="24"/>
        </w:rPr>
        <w:tab/>
      </w:r>
      <w:r w:rsidRPr="005F7F3E">
        <w:rPr>
          <w:rFonts w:ascii="Arial" w:hAnsi="Arial" w:cs="Arial"/>
          <w:sz w:val="24"/>
          <w:szCs w:val="24"/>
        </w:rPr>
        <w:tab/>
        <w:t>□ Behind schedule</w:t>
      </w:r>
    </w:p>
    <w:p w14:paraId="04B12419" w14:textId="77777777" w:rsidR="00743C01" w:rsidRPr="005F7F3E" w:rsidRDefault="00743C01" w:rsidP="00551D8A">
      <w:pPr>
        <w:spacing w:after="0"/>
        <w:ind w:left="-720" w:right="-720"/>
        <w:rPr>
          <w:rFonts w:ascii="Arial" w:hAnsi="Arial" w:cs="Arial"/>
          <w:sz w:val="24"/>
          <w:szCs w:val="24"/>
        </w:rPr>
      </w:pPr>
    </w:p>
    <w:p w14:paraId="1AC277B9" w14:textId="77777777" w:rsidR="00743C01" w:rsidRPr="005F7F3E" w:rsidRDefault="00B66A21" w:rsidP="00B66A21">
      <w:pPr>
        <w:tabs>
          <w:tab w:val="left" w:pos="1230"/>
        </w:tabs>
        <w:spacing w:after="0"/>
        <w:ind w:left="-720" w:right="-720"/>
        <w:rPr>
          <w:rFonts w:ascii="Arial" w:hAnsi="Arial" w:cs="Arial"/>
          <w:sz w:val="24"/>
          <w:szCs w:val="24"/>
        </w:rPr>
      </w:pPr>
      <w:r w:rsidRPr="005F7F3E">
        <w:rPr>
          <w:rFonts w:ascii="Arial" w:hAnsi="Arial" w:cs="Arial"/>
          <w:sz w:val="24"/>
          <w:szCs w:val="24"/>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F7F3E" w14:paraId="435DCBEB" w14:textId="77777777" w:rsidTr="00B66A21">
        <w:tc>
          <w:tcPr>
            <w:tcW w:w="4158" w:type="dxa"/>
            <w:shd w:val="pct15" w:color="auto" w:fill="auto"/>
          </w:tcPr>
          <w:p w14:paraId="3177C73B" w14:textId="77777777" w:rsidR="00874EF7" w:rsidRPr="005F7F3E" w:rsidRDefault="00B2185C" w:rsidP="00743C01">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Total Project Budget</w:t>
            </w:r>
          </w:p>
        </w:tc>
        <w:tc>
          <w:tcPr>
            <w:tcW w:w="3330" w:type="dxa"/>
            <w:shd w:val="pct15" w:color="auto" w:fill="auto"/>
          </w:tcPr>
          <w:p w14:paraId="4D4C4CDF" w14:textId="77777777" w:rsidR="00874EF7" w:rsidRPr="005F7F3E" w:rsidRDefault="00B2185C" w:rsidP="00874EF7">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 xml:space="preserve">Total </w:t>
            </w:r>
            <w:r w:rsidR="00B154D7" w:rsidRPr="005F7F3E">
              <w:rPr>
                <w:rFonts w:ascii="Arial" w:hAnsi="Arial" w:cs="Arial"/>
                <w:b/>
                <w:sz w:val="24"/>
                <w:szCs w:val="24"/>
              </w:rPr>
              <w:t>Funds Expended</w:t>
            </w:r>
          </w:p>
          <w:p w14:paraId="5B22DFCC" w14:textId="09F47000" w:rsidR="00B154D7" w:rsidRPr="005F7F3E" w:rsidRDefault="00B154D7" w:rsidP="00874EF7">
            <w:pPr>
              <w:ind w:right="-720"/>
              <w:rPr>
                <w:rFonts w:ascii="Arial" w:hAnsi="Arial" w:cs="Arial"/>
                <w:b/>
                <w:sz w:val="24"/>
                <w:szCs w:val="24"/>
              </w:rPr>
            </w:pPr>
            <w:r w:rsidRPr="005F7F3E">
              <w:rPr>
                <w:rFonts w:ascii="Arial" w:hAnsi="Arial" w:cs="Arial"/>
                <w:b/>
                <w:sz w:val="24"/>
                <w:szCs w:val="24"/>
              </w:rPr>
              <w:t>This Quarter</w:t>
            </w:r>
          </w:p>
        </w:tc>
        <w:tc>
          <w:tcPr>
            <w:tcW w:w="3420" w:type="dxa"/>
            <w:shd w:val="pct15" w:color="auto" w:fill="auto"/>
          </w:tcPr>
          <w:p w14:paraId="63F08C3E" w14:textId="77777777" w:rsidR="00547EE3"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B66A21" w:rsidRPr="005F7F3E">
              <w:rPr>
                <w:rFonts w:ascii="Arial" w:hAnsi="Arial" w:cs="Arial"/>
                <w:b/>
                <w:sz w:val="24"/>
                <w:szCs w:val="24"/>
              </w:rPr>
              <w:t xml:space="preserve">Percentage of </w:t>
            </w:r>
            <w:r w:rsidR="00874EF7" w:rsidRPr="005F7F3E">
              <w:rPr>
                <w:rFonts w:ascii="Arial" w:hAnsi="Arial" w:cs="Arial"/>
                <w:b/>
                <w:sz w:val="24"/>
                <w:szCs w:val="24"/>
              </w:rPr>
              <w:t>Work</w:t>
            </w:r>
            <w:r w:rsidRPr="005F7F3E">
              <w:rPr>
                <w:rFonts w:ascii="Arial" w:hAnsi="Arial" w:cs="Arial"/>
                <w:b/>
                <w:sz w:val="24"/>
                <w:szCs w:val="24"/>
              </w:rPr>
              <w:t xml:space="preserve"> </w:t>
            </w:r>
          </w:p>
          <w:p w14:paraId="1E411F63" w14:textId="77777777" w:rsidR="00874EF7"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Completed</w:t>
            </w:r>
            <w:r w:rsidRPr="005F7F3E">
              <w:rPr>
                <w:rFonts w:ascii="Arial" w:hAnsi="Arial" w:cs="Arial"/>
                <w:b/>
                <w:sz w:val="24"/>
                <w:szCs w:val="24"/>
              </w:rPr>
              <w:t xml:space="preserve"> to Date</w:t>
            </w:r>
          </w:p>
        </w:tc>
      </w:tr>
      <w:tr w:rsidR="00874EF7" w:rsidRPr="005F7F3E" w14:paraId="4A7F4871" w14:textId="77777777" w:rsidTr="00B66A21">
        <w:tc>
          <w:tcPr>
            <w:tcW w:w="4158" w:type="dxa"/>
          </w:tcPr>
          <w:p w14:paraId="0064BDA2" w14:textId="217BC78C" w:rsidR="00874EF7" w:rsidRPr="005F7F3E" w:rsidRDefault="00ED266E" w:rsidP="00551D8A">
            <w:pPr>
              <w:ind w:right="-720"/>
              <w:rPr>
                <w:rFonts w:ascii="Arial" w:hAnsi="Arial" w:cs="Arial"/>
                <w:sz w:val="24"/>
                <w:szCs w:val="24"/>
              </w:rPr>
            </w:pPr>
            <w:r w:rsidRPr="005F7F3E">
              <w:rPr>
                <w:rFonts w:ascii="Arial" w:hAnsi="Arial" w:cs="Arial"/>
                <w:sz w:val="24"/>
                <w:szCs w:val="24"/>
              </w:rPr>
              <w:t>$1,399,997</w:t>
            </w:r>
          </w:p>
        </w:tc>
        <w:tc>
          <w:tcPr>
            <w:tcW w:w="3330" w:type="dxa"/>
          </w:tcPr>
          <w:p w14:paraId="33CB995D" w14:textId="7FB2F408" w:rsidR="00874EF7" w:rsidRPr="005F7F3E" w:rsidRDefault="00B71E68" w:rsidP="00551D8A">
            <w:pPr>
              <w:ind w:right="-720"/>
              <w:rPr>
                <w:rFonts w:ascii="Arial" w:hAnsi="Arial" w:cs="Arial"/>
                <w:sz w:val="24"/>
                <w:szCs w:val="24"/>
              </w:rPr>
            </w:pPr>
            <w:r>
              <w:rPr>
                <w:color w:val="212121"/>
                <w:shd w:val="clear" w:color="auto" w:fill="FFFFFF"/>
              </w:rPr>
              <w:t>$1</w:t>
            </w:r>
            <w:r w:rsidR="00C157EF">
              <w:rPr>
                <w:color w:val="212121"/>
                <w:shd w:val="clear" w:color="auto" w:fill="FFFFFF"/>
              </w:rPr>
              <w:t>8</w:t>
            </w:r>
            <w:r>
              <w:rPr>
                <w:color w:val="212121"/>
                <w:shd w:val="clear" w:color="auto" w:fill="FFFFFF"/>
              </w:rPr>
              <w:t>2,174.21</w:t>
            </w:r>
          </w:p>
        </w:tc>
        <w:tc>
          <w:tcPr>
            <w:tcW w:w="3420" w:type="dxa"/>
          </w:tcPr>
          <w:p w14:paraId="0D63D8C2" w14:textId="7AC9E3D0" w:rsidR="00874EF7" w:rsidRPr="005F7F3E" w:rsidRDefault="00B71E68" w:rsidP="00551D8A">
            <w:pPr>
              <w:ind w:right="-720"/>
              <w:rPr>
                <w:rFonts w:ascii="Arial" w:hAnsi="Arial" w:cs="Arial"/>
                <w:sz w:val="24"/>
                <w:szCs w:val="24"/>
              </w:rPr>
            </w:pPr>
            <w:r>
              <w:rPr>
                <w:rFonts w:ascii="Arial" w:hAnsi="Arial" w:cs="Arial"/>
                <w:sz w:val="24"/>
                <w:szCs w:val="24"/>
              </w:rPr>
              <w:t>1</w:t>
            </w:r>
            <w:r w:rsidR="00C157EF">
              <w:rPr>
                <w:rFonts w:ascii="Arial" w:hAnsi="Arial" w:cs="Arial"/>
                <w:sz w:val="24"/>
                <w:szCs w:val="24"/>
              </w:rPr>
              <w:t>5</w:t>
            </w:r>
            <w:r>
              <w:rPr>
                <w:rFonts w:ascii="Arial" w:hAnsi="Arial" w:cs="Arial"/>
                <w:sz w:val="24"/>
                <w:szCs w:val="24"/>
              </w:rPr>
              <w:t>%</w:t>
            </w:r>
          </w:p>
        </w:tc>
      </w:tr>
    </w:tbl>
    <w:p w14:paraId="100AF936" w14:textId="77777777" w:rsidR="00743C01" w:rsidRPr="005F7F3E" w:rsidRDefault="00743C01" w:rsidP="00551D8A">
      <w:pPr>
        <w:spacing w:after="0"/>
        <w:ind w:left="-720" w:right="-720"/>
        <w:rPr>
          <w:rFonts w:ascii="Arial" w:hAnsi="Arial" w:cs="Arial"/>
          <w:sz w:val="24"/>
          <w:szCs w:val="24"/>
        </w:rPr>
      </w:pPr>
    </w:p>
    <w:p w14:paraId="3AB7E4CF" w14:textId="01795CD0" w:rsidR="00037FBC" w:rsidRPr="005F7F3E" w:rsidRDefault="00037FBC">
      <w:pPr>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12361248" w14:textId="77777777" w:rsidTr="00601EBD">
        <w:tc>
          <w:tcPr>
            <w:tcW w:w="10908" w:type="dxa"/>
          </w:tcPr>
          <w:p w14:paraId="3BD1B297" w14:textId="77777777" w:rsidR="00E35E0F" w:rsidRPr="005F7F3E" w:rsidRDefault="00E35E0F" w:rsidP="00551D8A">
            <w:pPr>
              <w:ind w:right="-720"/>
              <w:rPr>
                <w:rFonts w:ascii="Arial" w:hAnsi="Arial" w:cs="Arial"/>
                <w:b/>
                <w:sz w:val="24"/>
                <w:szCs w:val="24"/>
              </w:rPr>
            </w:pPr>
          </w:p>
          <w:p w14:paraId="76BD191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t>Project Description</w:t>
            </w:r>
            <w:r w:rsidRPr="005F7F3E">
              <w:rPr>
                <w:rFonts w:ascii="Arial" w:hAnsi="Arial" w:cs="Arial"/>
                <w:sz w:val="24"/>
                <w:szCs w:val="24"/>
              </w:rPr>
              <w:t>:</w:t>
            </w:r>
          </w:p>
          <w:p w14:paraId="491ADF78" w14:textId="77777777" w:rsidR="00E50418" w:rsidRPr="005F7F3E" w:rsidRDefault="00E50418" w:rsidP="00E50418">
            <w:pPr>
              <w:pStyle w:val="NormalWeb"/>
              <w:rPr>
                <w:rFonts w:ascii="Arial" w:hAnsi="Arial" w:cs="Arial"/>
              </w:rPr>
            </w:pPr>
            <w:r w:rsidRPr="005F7F3E">
              <w:rPr>
                <w:rFonts w:ascii="Arial" w:hAnsi="Arial" w:cs="Arial"/>
              </w:rPr>
              <w:lastRenderedPageBreak/>
              <w:t>This pooled fund study aims to establish a collaborative data exchange framework between Original Equipment Manufacturers (OEMs) and Departments of Transportation (DOTs). OEMs collect and store vast amounts of connected vehicle data, which can provide valuable insights for transportation agencies in assessing safety, mobility, and infrastructure performance. Conversely, DOTs are the custodians of critical infrastructure and possess data, such as construction schedules and signal timing information, that could enable OEMs to enhance connected vehicle systems and develop innovative solutions.</w:t>
            </w:r>
          </w:p>
          <w:p w14:paraId="3092FE64" w14:textId="69D100CC" w:rsidR="00601EBD" w:rsidRPr="005F7F3E" w:rsidRDefault="00E50418" w:rsidP="00894CA0">
            <w:pPr>
              <w:pStyle w:val="NormalWeb"/>
              <w:rPr>
                <w:rFonts w:ascii="Arial" w:hAnsi="Arial" w:cs="Arial"/>
              </w:rPr>
            </w:pPr>
            <w:r w:rsidRPr="005F7F3E">
              <w:rPr>
                <w:rFonts w:ascii="Arial" w:hAnsi="Arial" w:cs="Arial"/>
              </w:rPr>
              <w:t>By fostering a partnership between OEMs and DOTs, this study seeks to develop a secure, scalable, and mutually beneficial data-sharing ecosystem. This collaboration will support the creation of tools and analytics that improve roadway safety, enhance mobility, and optimize infrastructure management, while also enabling OEMs to design solutions that align with transportation agency priorities. The pooled fund will focus on defining data standards, establishing governance structures, and developing the technological foundation needed to facilitate seamless data integration and exchange.</w:t>
            </w:r>
          </w:p>
        </w:tc>
      </w:tr>
    </w:tbl>
    <w:p w14:paraId="3F68005D" w14:textId="77777777" w:rsidR="00037FBC" w:rsidRPr="005F7F3E" w:rsidRDefault="00037FBC" w:rsidP="00551D8A">
      <w:pPr>
        <w:spacing w:after="0"/>
        <w:ind w:left="-720" w:right="-720"/>
        <w:rPr>
          <w:rFonts w:ascii="Arial" w:hAnsi="Arial" w:cs="Arial"/>
          <w:sz w:val="24"/>
          <w:szCs w:val="24"/>
        </w:rPr>
      </w:pPr>
    </w:p>
    <w:p w14:paraId="13E2D012"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5AA88EF1" w14:textId="77777777" w:rsidTr="00601EBD">
        <w:tc>
          <w:tcPr>
            <w:tcW w:w="10908" w:type="dxa"/>
          </w:tcPr>
          <w:p w14:paraId="7F5505AC" w14:textId="77777777" w:rsidR="00E35E0F" w:rsidRPr="005F7F3E" w:rsidRDefault="00E35E0F" w:rsidP="00551D8A">
            <w:pPr>
              <w:ind w:right="-720"/>
              <w:rPr>
                <w:rFonts w:ascii="Arial" w:hAnsi="Arial" w:cs="Arial"/>
                <w:b/>
                <w:sz w:val="24"/>
                <w:szCs w:val="24"/>
              </w:rPr>
            </w:pPr>
          </w:p>
          <w:p w14:paraId="7BC78E18"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Progress this Quarter (includes meetings, work plan status, contract status, significant progress, etc.):</w:t>
            </w:r>
          </w:p>
          <w:p w14:paraId="0CD446F1" w14:textId="77777777" w:rsidR="00894CA0" w:rsidRPr="005F7F3E" w:rsidRDefault="00894CA0" w:rsidP="00551D8A">
            <w:pPr>
              <w:ind w:right="-720"/>
              <w:rPr>
                <w:rFonts w:ascii="Arial" w:hAnsi="Arial" w:cs="Arial"/>
                <w:b/>
                <w:sz w:val="24"/>
                <w:szCs w:val="24"/>
              </w:rPr>
            </w:pPr>
          </w:p>
          <w:p w14:paraId="60C85DFB" w14:textId="77777777" w:rsidR="009A1DB0" w:rsidRDefault="009A1DB0" w:rsidP="009A1DB0">
            <w:pPr>
              <w:pStyle w:val="NormalWeb"/>
            </w:pPr>
            <w:r>
              <w:t>This quarter, we continued advancing the goals of the Public-Private Transportation Data Exchange Center, with a focus on strengthening OEM engagement, expanding third-party data-sharing partnerships, and enhancing data exploration capabilities.</w:t>
            </w:r>
          </w:p>
          <w:p w14:paraId="01CA47BF" w14:textId="77777777" w:rsidR="009A1DB0" w:rsidRDefault="009A1DB0" w:rsidP="009A1DB0">
            <w:pPr>
              <w:pStyle w:val="NormalWeb"/>
              <w:numPr>
                <w:ilvl w:val="0"/>
                <w:numId w:val="6"/>
              </w:numPr>
            </w:pPr>
            <w:r>
              <w:rPr>
                <w:rStyle w:val="Strong"/>
              </w:rPr>
              <w:t>OEM Engagement:</w:t>
            </w:r>
            <w:r>
              <w:t xml:space="preserve"> Outreach efforts with </w:t>
            </w:r>
            <w:r w:rsidRPr="009A1DB0">
              <w:rPr>
                <w:rStyle w:val="Strong"/>
                <w:b w:val="0"/>
                <w:bCs w:val="0"/>
              </w:rPr>
              <w:t>Stellantis</w:t>
            </w:r>
            <w:r>
              <w:t xml:space="preserve"> and </w:t>
            </w:r>
            <w:r w:rsidRPr="009A1DB0">
              <w:rPr>
                <w:rStyle w:val="Strong"/>
                <w:b w:val="0"/>
                <w:bCs w:val="0"/>
              </w:rPr>
              <w:t>NIRA Dynamics</w:t>
            </w:r>
            <w:r>
              <w:t xml:space="preserve"> continued, though overall OEM engagement has slowed. Stellantis is preparing to release </w:t>
            </w:r>
            <w:r>
              <w:rPr>
                <w:rStyle w:val="Emphasis"/>
              </w:rPr>
              <w:t>True Near Miss (Safety)</w:t>
            </w:r>
            <w:r>
              <w:t xml:space="preserve"> telemetry data later this fall, and discussions are ongoing regarding direct engagement opportunities with DOTs. </w:t>
            </w:r>
            <w:r w:rsidRPr="009A1DB0">
              <w:rPr>
                <w:rStyle w:val="Strong"/>
                <w:b w:val="0"/>
                <w:bCs w:val="0"/>
              </w:rPr>
              <w:t>A data-sharing agreement with NIRA Dynamics</w:t>
            </w:r>
            <w:r w:rsidRPr="009A1DB0">
              <w:rPr>
                <w:b/>
                <w:bCs/>
              </w:rPr>
              <w:t xml:space="preserve"> </w:t>
            </w:r>
            <w:r w:rsidRPr="009A1DB0">
              <w:t>was</w:t>
            </w:r>
            <w:r w:rsidRPr="009A1DB0">
              <w:rPr>
                <w:b/>
                <w:bCs/>
              </w:rPr>
              <w:t xml:space="preserve"> </w:t>
            </w:r>
            <w:r>
              <w:t>finalized this quarter, enabling access to real-time tire grip and road surface condition data collected across 1,000 miles during the winter-season pilot in New Jersey.</w:t>
            </w:r>
          </w:p>
          <w:p w14:paraId="482F0A88" w14:textId="77777777" w:rsidR="009A1DB0" w:rsidRDefault="009A1DB0" w:rsidP="009A1DB0">
            <w:pPr>
              <w:pStyle w:val="NormalWeb"/>
              <w:numPr>
                <w:ilvl w:val="0"/>
                <w:numId w:val="6"/>
              </w:numPr>
            </w:pPr>
            <w:r>
              <w:rPr>
                <w:rStyle w:val="Strong"/>
              </w:rPr>
              <w:t>Third-Party Pilots:</w:t>
            </w:r>
            <w:r>
              <w:t xml:space="preserve"> A four-month </w:t>
            </w:r>
            <w:r w:rsidRPr="009A1DB0">
              <w:rPr>
                <w:rStyle w:val="Strong"/>
                <w:b w:val="0"/>
                <w:bCs w:val="0"/>
              </w:rPr>
              <w:t>pilot project in Missouri</w:t>
            </w:r>
            <w:r>
              <w:t xml:space="preserve"> was launched through </w:t>
            </w:r>
            <w:r w:rsidRPr="009A1DB0">
              <w:rPr>
                <w:rStyle w:val="Strong"/>
                <w:b w:val="0"/>
                <w:bCs w:val="0"/>
              </w:rPr>
              <w:t>Compass IOT</w:t>
            </w:r>
            <w:r>
              <w:t xml:space="preserve">, providing access to all Compass web applications and supporting data exploration for the City of St. Louis. </w:t>
            </w:r>
            <w:r w:rsidRPr="009A1DB0">
              <w:rPr>
                <w:rStyle w:val="Strong"/>
                <w:b w:val="0"/>
                <w:bCs w:val="0"/>
              </w:rPr>
              <w:t>A formal data-sharing agreement with Compass IOT</w:t>
            </w:r>
            <w:r w:rsidRPr="009A1DB0">
              <w:rPr>
                <w:b/>
                <w:bCs/>
              </w:rPr>
              <w:t xml:space="preserve"> </w:t>
            </w:r>
            <w:r w:rsidRPr="009A1DB0">
              <w:t>was also completed, and we</w:t>
            </w:r>
            <w:r w:rsidRPr="009A1DB0">
              <w:rPr>
                <w:b/>
                <w:bCs/>
              </w:rPr>
              <w:t xml:space="preserve"> </w:t>
            </w:r>
            <w:r w:rsidRPr="009A1DB0">
              <w:rPr>
                <w:rStyle w:val="Strong"/>
                <w:b w:val="0"/>
                <w:bCs w:val="0"/>
              </w:rPr>
              <w:t>began developing a platform for exploring large datasets</w:t>
            </w:r>
            <w:r>
              <w:t xml:space="preserve"> shared through this partnership, which will enhance our ability to analyze and visualize transportation data at scale.</w:t>
            </w:r>
          </w:p>
          <w:p w14:paraId="4FB3DA53" w14:textId="77777777" w:rsidR="009A1DB0" w:rsidRDefault="009A1DB0" w:rsidP="009A1DB0">
            <w:pPr>
              <w:pStyle w:val="NormalWeb"/>
              <w:ind w:left="360"/>
            </w:pPr>
            <w:r>
              <w:rPr>
                <w:rStyle w:val="Strong"/>
              </w:rPr>
              <w:t>Overall Progress:</w:t>
            </w:r>
            <w:r>
              <w:t xml:space="preserve"> While OEM engagement has progressed more slowly than anticipated, the team achieved significant milestones by finalizing data-sharing agreements, expanding pilot activities, and initiating the development of a scalable data exploration platform to support future analysis and integration efforts.</w:t>
            </w:r>
          </w:p>
          <w:p w14:paraId="37EB5855" w14:textId="32474F4E" w:rsidR="005F7F3E" w:rsidRPr="005F7F3E" w:rsidRDefault="005F7F3E" w:rsidP="00B71E68">
            <w:pPr>
              <w:spacing w:before="100" w:beforeAutospacing="1" w:after="100" w:afterAutospacing="1"/>
              <w:rPr>
                <w:rFonts w:ascii="Arial" w:hAnsi="Arial" w:cs="Arial"/>
              </w:rPr>
            </w:pPr>
          </w:p>
        </w:tc>
      </w:tr>
      <w:tr w:rsidR="00601EBD" w:rsidRPr="005F7F3E" w14:paraId="7B3FD6B1" w14:textId="77777777" w:rsidTr="00601EBD">
        <w:tc>
          <w:tcPr>
            <w:tcW w:w="10903" w:type="dxa"/>
          </w:tcPr>
          <w:p w14:paraId="0F809A22" w14:textId="77777777" w:rsidR="00E35E0F" w:rsidRPr="005F7F3E" w:rsidRDefault="00E35E0F" w:rsidP="00551D8A">
            <w:pPr>
              <w:ind w:right="-720"/>
              <w:rPr>
                <w:rFonts w:ascii="Arial" w:hAnsi="Arial" w:cs="Arial"/>
                <w:b/>
                <w:sz w:val="24"/>
                <w:szCs w:val="24"/>
              </w:rPr>
            </w:pPr>
          </w:p>
          <w:p w14:paraId="53A5B10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t>Anticipated work next quarter</w:t>
            </w:r>
            <w:r w:rsidRPr="005F7F3E">
              <w:rPr>
                <w:rFonts w:ascii="Arial" w:hAnsi="Arial" w:cs="Arial"/>
                <w:sz w:val="24"/>
                <w:szCs w:val="24"/>
              </w:rPr>
              <w:t>:</w:t>
            </w:r>
          </w:p>
          <w:p w14:paraId="464AC0BB" w14:textId="77777777" w:rsidR="00C07B29" w:rsidRPr="005F7F3E" w:rsidRDefault="00C07B29" w:rsidP="00551D8A">
            <w:pPr>
              <w:ind w:right="-720"/>
              <w:rPr>
                <w:rFonts w:ascii="Arial" w:hAnsi="Arial" w:cs="Arial"/>
                <w:sz w:val="24"/>
                <w:szCs w:val="24"/>
              </w:rPr>
            </w:pPr>
          </w:p>
          <w:p w14:paraId="50286BA1" w14:textId="77777777" w:rsidR="009A1DB0" w:rsidRDefault="009A1DB0" w:rsidP="009A1DB0">
            <w:pPr>
              <w:pStyle w:val="NormalWeb"/>
            </w:pPr>
            <w:r>
              <w:lastRenderedPageBreak/>
              <w:t>In the upcoming quarter, we will focus on strengthening partnerships, expanding data exploration, and advancing the technical infrastructure that supports the Public-Private Transportation Data Exchange Center. Our primary activities will include:</w:t>
            </w:r>
          </w:p>
          <w:p w14:paraId="39B5CE17" w14:textId="77777777" w:rsidR="009A1DB0" w:rsidRDefault="009A1DB0" w:rsidP="009A1DB0">
            <w:pPr>
              <w:pStyle w:val="NormalWeb"/>
              <w:numPr>
                <w:ilvl w:val="0"/>
                <w:numId w:val="7"/>
              </w:numPr>
            </w:pPr>
            <w:r>
              <w:rPr>
                <w:rStyle w:val="Strong"/>
              </w:rPr>
              <w:t>Expanding OEM Engagement:</w:t>
            </w:r>
            <w:r>
              <w:t xml:space="preserve"> We will continue outreach to </w:t>
            </w:r>
            <w:r w:rsidRPr="009A1DB0">
              <w:rPr>
                <w:rStyle w:val="Strong"/>
                <w:b w:val="0"/>
                <w:bCs w:val="0"/>
              </w:rPr>
              <w:t>Stellantis</w:t>
            </w:r>
            <w:r>
              <w:t xml:space="preserve"> to finalize collaboration terms for accessing </w:t>
            </w:r>
            <w:r>
              <w:rPr>
                <w:rStyle w:val="Emphasis"/>
              </w:rPr>
              <w:t>True Near Miss (Safety)</w:t>
            </w:r>
            <w:r>
              <w:t xml:space="preserve"> data and pursue engagement with additional OEMs to broaden the scope and diversity of available vehicle telemetry.</w:t>
            </w:r>
          </w:p>
          <w:p w14:paraId="0EB01097" w14:textId="77777777" w:rsidR="009A1DB0" w:rsidRDefault="009A1DB0" w:rsidP="009A1DB0">
            <w:pPr>
              <w:pStyle w:val="NormalWeb"/>
              <w:numPr>
                <w:ilvl w:val="0"/>
                <w:numId w:val="7"/>
              </w:numPr>
            </w:pPr>
            <w:r>
              <w:rPr>
                <w:rStyle w:val="Strong"/>
              </w:rPr>
              <w:t>Advancing Data Exploration Platform:</w:t>
            </w:r>
            <w:r>
              <w:t xml:space="preserve"> Building on our progress with </w:t>
            </w:r>
            <w:r w:rsidRPr="009A1DB0">
              <w:rPr>
                <w:rStyle w:val="Strong"/>
                <w:b w:val="0"/>
                <w:bCs w:val="0"/>
              </w:rPr>
              <w:t>Compass IOT</w:t>
            </w:r>
            <w:r>
              <w:t xml:space="preserve">, we will continue developing and refining the </w:t>
            </w:r>
            <w:r w:rsidRPr="009A1DB0">
              <w:rPr>
                <w:rStyle w:val="Strong"/>
                <w:b w:val="0"/>
                <w:bCs w:val="0"/>
              </w:rPr>
              <w:t>data exploration platform</w:t>
            </w:r>
            <w:r>
              <w:t xml:space="preserve"> to efficiently manage and analyze large-scale transportation datasets and generate actionable insights.</w:t>
            </w:r>
          </w:p>
          <w:p w14:paraId="1379283B" w14:textId="77777777" w:rsidR="009A1DB0" w:rsidRDefault="009A1DB0" w:rsidP="009A1DB0">
            <w:pPr>
              <w:pStyle w:val="NormalWeb"/>
              <w:numPr>
                <w:ilvl w:val="0"/>
                <w:numId w:val="7"/>
              </w:numPr>
            </w:pPr>
            <w:r>
              <w:rPr>
                <w:rStyle w:val="Strong"/>
              </w:rPr>
              <w:t>Dataset Integration and Evaluation:</w:t>
            </w:r>
            <w:r>
              <w:t xml:space="preserve"> With finalized data-sharing agreements now in place with </w:t>
            </w:r>
            <w:r w:rsidRPr="009A1DB0">
              <w:rPr>
                <w:rStyle w:val="Strong"/>
                <w:b w:val="0"/>
                <w:bCs w:val="0"/>
              </w:rPr>
              <w:t>NIRA Dynamics</w:t>
            </w:r>
            <w:r>
              <w:t xml:space="preserve"> and </w:t>
            </w:r>
            <w:r w:rsidRPr="009A1DB0">
              <w:rPr>
                <w:rStyle w:val="Strong"/>
                <w:b w:val="0"/>
                <w:bCs w:val="0"/>
              </w:rPr>
              <w:t>Compass IOT</w:t>
            </w:r>
            <w:r>
              <w:t>, we will begin systematic evaluation of these datasets—assessing data quality, structure, and potential applications for proactive safety and infrastructure performance analysis.</w:t>
            </w:r>
          </w:p>
          <w:p w14:paraId="2A091BD4" w14:textId="77777777" w:rsidR="009A1DB0" w:rsidRDefault="009A1DB0" w:rsidP="009A1DB0">
            <w:pPr>
              <w:pStyle w:val="NormalWeb"/>
              <w:numPr>
                <w:ilvl w:val="0"/>
                <w:numId w:val="7"/>
              </w:numPr>
            </w:pPr>
            <w:r>
              <w:rPr>
                <w:rStyle w:val="Strong"/>
              </w:rPr>
              <w:t>New Jersey DOT Pilot:</w:t>
            </w:r>
            <w:r>
              <w:t xml:space="preserve"> We will </w:t>
            </w:r>
            <w:r w:rsidRPr="009A1DB0">
              <w:rPr>
                <w:rStyle w:val="Strong"/>
                <w:b w:val="0"/>
                <w:bCs w:val="0"/>
              </w:rPr>
              <w:t>launch a pilot project with the New Jersey Department of Transportation</w:t>
            </w:r>
            <w:r w:rsidRPr="009A1DB0">
              <w:rPr>
                <w:b/>
                <w:bCs/>
              </w:rPr>
              <w:t xml:space="preserve"> </w:t>
            </w:r>
            <w:r w:rsidRPr="009A1DB0">
              <w:t>using</w:t>
            </w:r>
            <w:r w:rsidRPr="009A1DB0">
              <w:rPr>
                <w:b/>
                <w:bCs/>
              </w:rPr>
              <w:t xml:space="preserve"> </w:t>
            </w:r>
            <w:r w:rsidRPr="009A1DB0">
              <w:rPr>
                <w:rStyle w:val="Strong"/>
                <w:b w:val="0"/>
                <w:bCs w:val="0"/>
              </w:rPr>
              <w:t>friction and road surface condition data from NIRA Dynamics</w:t>
            </w:r>
            <w:r w:rsidRPr="009A1DB0">
              <w:rPr>
                <w:b/>
                <w:bCs/>
              </w:rPr>
              <w:t>.</w:t>
            </w:r>
            <w:r>
              <w:t xml:space="preserve"> This effort will demonstrate how real-time grip data can support roadway safety monitoring and winter maintenance operations.</w:t>
            </w:r>
          </w:p>
          <w:p w14:paraId="22A6FCE0" w14:textId="1F10520C" w:rsidR="00601EBD" w:rsidRPr="00C050B1" w:rsidRDefault="00601EBD" w:rsidP="00C07B29">
            <w:pPr>
              <w:pStyle w:val="NormalWeb"/>
            </w:pPr>
          </w:p>
        </w:tc>
      </w:tr>
    </w:tbl>
    <w:p w14:paraId="5B1C42C7"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2CC9C2C2" w14:textId="77777777" w:rsidTr="00601EBD">
        <w:tc>
          <w:tcPr>
            <w:tcW w:w="10908" w:type="dxa"/>
          </w:tcPr>
          <w:p w14:paraId="663ABD82" w14:textId="77777777" w:rsidR="00E35E0F" w:rsidRPr="005F7F3E" w:rsidRDefault="00E35E0F" w:rsidP="00551D8A">
            <w:pPr>
              <w:ind w:right="-720"/>
              <w:rPr>
                <w:rFonts w:ascii="Arial" w:hAnsi="Arial" w:cs="Arial"/>
                <w:b/>
                <w:sz w:val="24"/>
                <w:szCs w:val="24"/>
              </w:rPr>
            </w:pPr>
          </w:p>
          <w:p w14:paraId="76850FAC"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Significant Results:</w:t>
            </w:r>
          </w:p>
          <w:p w14:paraId="7BA5CB9E" w14:textId="77777777" w:rsidR="009A1DB0" w:rsidRDefault="009A1DB0" w:rsidP="009A1DB0">
            <w:pPr>
              <w:pStyle w:val="NormalWeb"/>
            </w:pPr>
            <w:r>
              <w:t>This quarter, the pooled fund study made significant progress in advancing data-sharing partnerships, launching pilot activities, and enhancing data exploration capabilities to support the Public-Private Transportation Data Exchange Center.</w:t>
            </w:r>
          </w:p>
          <w:p w14:paraId="22816C4E" w14:textId="77777777" w:rsidR="009A1DB0" w:rsidRDefault="009A1DB0" w:rsidP="009A1DB0">
            <w:pPr>
              <w:pStyle w:val="NormalWeb"/>
              <w:numPr>
                <w:ilvl w:val="0"/>
                <w:numId w:val="8"/>
              </w:numPr>
            </w:pPr>
            <w:r>
              <w:rPr>
                <w:rStyle w:val="Strong"/>
              </w:rPr>
              <w:t>Data Sharing Agreements Finalized:</w:t>
            </w:r>
            <w:r>
              <w:t xml:space="preserve"> Formal </w:t>
            </w:r>
            <w:r w:rsidRPr="009A1DB0">
              <w:rPr>
                <w:rStyle w:val="Strong"/>
                <w:b w:val="0"/>
                <w:bCs w:val="0"/>
              </w:rPr>
              <w:t>data-sharing agreements with NIRA Dynamics and Compass IOT</w:t>
            </w:r>
            <w:r w:rsidRPr="009A1DB0">
              <w:rPr>
                <w:b/>
                <w:bCs/>
              </w:rPr>
              <w:t xml:space="preserve"> </w:t>
            </w:r>
            <w:r>
              <w:t>were completed, marking a major milestone in expanding access to high-value transportation datasets for pooled fund members.</w:t>
            </w:r>
          </w:p>
          <w:p w14:paraId="5A24A235" w14:textId="77777777" w:rsidR="009A1DB0" w:rsidRDefault="009A1DB0" w:rsidP="009A1DB0">
            <w:pPr>
              <w:pStyle w:val="NormalWeb"/>
              <w:numPr>
                <w:ilvl w:val="0"/>
                <w:numId w:val="8"/>
              </w:numPr>
            </w:pPr>
            <w:r>
              <w:rPr>
                <w:rStyle w:val="Strong"/>
              </w:rPr>
              <w:t>OEM Engagement Continued:</w:t>
            </w:r>
            <w:r>
              <w:t xml:space="preserve"> Engagement with </w:t>
            </w:r>
            <w:r w:rsidRPr="009A1DB0">
              <w:rPr>
                <w:rStyle w:val="Strong"/>
                <w:b w:val="0"/>
                <w:bCs w:val="0"/>
              </w:rPr>
              <w:t>Stellantis</w:t>
            </w:r>
            <w:r>
              <w:t xml:space="preserve"> remains active, with discussions ongoing to finalize collaboration terms for accessing </w:t>
            </w:r>
            <w:r>
              <w:rPr>
                <w:rStyle w:val="Emphasis"/>
              </w:rPr>
              <w:t>True Near Miss (Safety)</w:t>
            </w:r>
            <w:r>
              <w:t xml:space="preserve"> telemetry data anticipated for release later this year.</w:t>
            </w:r>
          </w:p>
          <w:p w14:paraId="4A6FBC18" w14:textId="77777777" w:rsidR="009A1DB0" w:rsidRDefault="009A1DB0" w:rsidP="009A1DB0">
            <w:pPr>
              <w:pStyle w:val="NormalWeb"/>
              <w:numPr>
                <w:ilvl w:val="0"/>
                <w:numId w:val="8"/>
              </w:numPr>
            </w:pPr>
            <w:r>
              <w:rPr>
                <w:rStyle w:val="Strong"/>
              </w:rPr>
              <w:t>Third-Party Pilot Launched:</w:t>
            </w:r>
            <w:r>
              <w:t xml:space="preserve"> A </w:t>
            </w:r>
            <w:r w:rsidRPr="009A1DB0">
              <w:rPr>
                <w:rStyle w:val="Strong"/>
                <w:b w:val="0"/>
                <w:bCs w:val="0"/>
              </w:rPr>
              <w:t>four-month pilot project with Compass IOT</w:t>
            </w:r>
            <w:r w:rsidRPr="009A1DB0">
              <w:rPr>
                <w:b/>
                <w:bCs/>
              </w:rPr>
              <w:t xml:space="preserve"> </w:t>
            </w:r>
            <w:r>
              <w:t xml:space="preserve">was initiated in </w:t>
            </w:r>
            <w:r w:rsidRPr="009A1DB0">
              <w:rPr>
                <w:rStyle w:val="Strong"/>
                <w:b w:val="0"/>
                <w:bCs w:val="0"/>
              </w:rPr>
              <w:t>Missouri</w:t>
            </w:r>
            <w:r>
              <w:t>, providing access to all Compass web applications and enabling data exploration for the City of St. Louis.</w:t>
            </w:r>
          </w:p>
          <w:p w14:paraId="3B8FD3B0" w14:textId="77777777" w:rsidR="009A1DB0" w:rsidRDefault="009A1DB0" w:rsidP="009A1DB0">
            <w:pPr>
              <w:pStyle w:val="NormalWeb"/>
              <w:numPr>
                <w:ilvl w:val="0"/>
                <w:numId w:val="8"/>
              </w:numPr>
            </w:pPr>
            <w:r>
              <w:rPr>
                <w:rStyle w:val="Strong"/>
              </w:rPr>
              <w:t>Platform Development Begun:</w:t>
            </w:r>
            <w:r>
              <w:t xml:space="preserve"> Development of a </w:t>
            </w:r>
            <w:r w:rsidRPr="009A1DB0">
              <w:rPr>
                <w:rStyle w:val="Strong"/>
                <w:b w:val="0"/>
                <w:bCs w:val="0"/>
              </w:rPr>
              <w:t>data exploration platform</w:t>
            </w:r>
            <w:r>
              <w:t xml:space="preserve"> began this quarter to support the analysis of large-scale datasets shared through Compass IOT, enhancing the Center’s analytical and visualization capabilities.</w:t>
            </w:r>
          </w:p>
          <w:p w14:paraId="17B8E127" w14:textId="77777777" w:rsidR="009A1DB0" w:rsidRDefault="009A1DB0" w:rsidP="009A1DB0">
            <w:pPr>
              <w:pStyle w:val="NormalWeb"/>
              <w:numPr>
                <w:ilvl w:val="0"/>
                <w:numId w:val="8"/>
              </w:numPr>
            </w:pPr>
            <w:r>
              <w:rPr>
                <w:rStyle w:val="Strong"/>
              </w:rPr>
              <w:t>New Jersey DOT Pilot Preparation:</w:t>
            </w:r>
            <w:r>
              <w:t xml:space="preserve"> Planning began for a </w:t>
            </w:r>
            <w:r w:rsidRPr="009A1DB0">
              <w:rPr>
                <w:rStyle w:val="Strong"/>
                <w:b w:val="0"/>
                <w:bCs w:val="0"/>
              </w:rPr>
              <w:t>pilot with the New Jersey Department of Transportation</w:t>
            </w:r>
            <w:r w:rsidRPr="009A1DB0">
              <w:rPr>
                <w:b/>
                <w:bCs/>
              </w:rPr>
              <w:t xml:space="preserve">, </w:t>
            </w:r>
            <w:r w:rsidRPr="009A1DB0">
              <w:t>using</w:t>
            </w:r>
            <w:r w:rsidRPr="009A1DB0">
              <w:rPr>
                <w:b/>
                <w:bCs/>
              </w:rPr>
              <w:t xml:space="preserve"> </w:t>
            </w:r>
            <w:r w:rsidRPr="009A1DB0">
              <w:rPr>
                <w:rStyle w:val="Strong"/>
                <w:b w:val="0"/>
                <w:bCs w:val="0"/>
              </w:rPr>
              <w:t>friction and road surface condition data from NIRA Dynamics</w:t>
            </w:r>
            <w:r w:rsidRPr="009A1DB0">
              <w:rPr>
                <w:b/>
                <w:bCs/>
              </w:rPr>
              <w:t xml:space="preserve"> </w:t>
            </w:r>
            <w:r>
              <w:t>to support roadway safety monitoring and winter maintenance operations.</w:t>
            </w:r>
          </w:p>
          <w:p w14:paraId="0A4C50F0" w14:textId="77777777" w:rsidR="00601EBD" w:rsidRPr="005F7F3E" w:rsidRDefault="00601EBD" w:rsidP="009A1DB0">
            <w:pPr>
              <w:pStyle w:val="NormalWeb"/>
              <w:rPr>
                <w:rFonts w:ascii="Arial" w:hAnsi="Arial" w:cs="Arial"/>
                <w:b/>
              </w:rPr>
            </w:pPr>
          </w:p>
        </w:tc>
      </w:tr>
      <w:tr w:rsidR="00601EBD" w:rsidRPr="005F7F3E" w14:paraId="5F17B6F7" w14:textId="77777777" w:rsidTr="00601EBD">
        <w:tc>
          <w:tcPr>
            <w:tcW w:w="10908" w:type="dxa"/>
          </w:tcPr>
          <w:p w14:paraId="53414F76" w14:textId="77777777" w:rsidR="00E35E0F" w:rsidRPr="005F7F3E" w:rsidRDefault="00E35E0F" w:rsidP="00551D8A">
            <w:pPr>
              <w:ind w:right="-720"/>
              <w:rPr>
                <w:rFonts w:ascii="Arial" w:hAnsi="Arial" w:cs="Arial"/>
                <w:b/>
                <w:sz w:val="24"/>
                <w:szCs w:val="24"/>
              </w:rPr>
            </w:pPr>
          </w:p>
          <w:p w14:paraId="0B924A8C" w14:textId="77777777" w:rsidR="00E35E0F" w:rsidRPr="005F7F3E" w:rsidRDefault="00601EBD" w:rsidP="00551D8A">
            <w:pPr>
              <w:ind w:right="-720"/>
              <w:rPr>
                <w:rFonts w:ascii="Arial" w:hAnsi="Arial" w:cs="Arial"/>
                <w:b/>
                <w:sz w:val="24"/>
                <w:szCs w:val="24"/>
              </w:rPr>
            </w:pPr>
            <w:r w:rsidRPr="005F7F3E">
              <w:rPr>
                <w:rFonts w:ascii="Arial" w:hAnsi="Arial" w:cs="Arial"/>
                <w:b/>
                <w:sz w:val="24"/>
                <w:szCs w:val="24"/>
              </w:rPr>
              <w:t xml:space="preserve">Circumstance affecting project or budget.  (Please describe any challenges encountered or anticipated that </w:t>
            </w:r>
          </w:p>
          <w:p w14:paraId="064286D3" w14:textId="77777777" w:rsidR="00E35E0F" w:rsidRPr="005F7F3E" w:rsidRDefault="00601EBD" w:rsidP="00551D8A">
            <w:pPr>
              <w:ind w:right="-720"/>
              <w:rPr>
                <w:rFonts w:ascii="Arial" w:hAnsi="Arial" w:cs="Arial"/>
                <w:b/>
                <w:sz w:val="24"/>
                <w:szCs w:val="24"/>
              </w:rPr>
            </w:pPr>
            <w:r w:rsidRPr="005F7F3E">
              <w:rPr>
                <w:rFonts w:ascii="Arial" w:hAnsi="Arial" w:cs="Arial"/>
                <w:b/>
                <w:sz w:val="24"/>
                <w:szCs w:val="24"/>
              </w:rPr>
              <w:lastRenderedPageBreak/>
              <w:t>might affect the completion of the project within the tim</w:t>
            </w:r>
            <w:r w:rsidR="00E35E0F" w:rsidRPr="005F7F3E">
              <w:rPr>
                <w:rFonts w:ascii="Arial" w:hAnsi="Arial" w:cs="Arial"/>
                <w:b/>
                <w:sz w:val="24"/>
                <w:szCs w:val="24"/>
              </w:rPr>
              <w:t xml:space="preserve">e, scope and fiscal constraints </w:t>
            </w:r>
            <w:r w:rsidRPr="005F7F3E">
              <w:rPr>
                <w:rFonts w:ascii="Arial" w:hAnsi="Arial" w:cs="Arial"/>
                <w:b/>
                <w:sz w:val="24"/>
                <w:szCs w:val="24"/>
              </w:rPr>
              <w:t xml:space="preserve">set forth in the </w:t>
            </w:r>
          </w:p>
          <w:p w14:paraId="413AF557"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agreement, along with recommended solutions to those problems).</w:t>
            </w:r>
          </w:p>
          <w:p w14:paraId="1972D520" w14:textId="77777777" w:rsidR="00C07B29" w:rsidRPr="005F7F3E" w:rsidRDefault="00C07B29" w:rsidP="00551D8A">
            <w:pPr>
              <w:ind w:right="-720"/>
              <w:rPr>
                <w:rFonts w:ascii="Arial" w:hAnsi="Arial" w:cs="Arial"/>
                <w:b/>
                <w:sz w:val="24"/>
                <w:szCs w:val="24"/>
              </w:rPr>
            </w:pPr>
          </w:p>
          <w:p w14:paraId="4626F1D1" w14:textId="23E1F427" w:rsidR="00601EBD" w:rsidRPr="005F7F3E" w:rsidRDefault="00C050B1" w:rsidP="00C050B1">
            <w:pPr>
              <w:ind w:right="-720"/>
              <w:rPr>
                <w:rFonts w:ascii="Arial" w:hAnsi="Arial" w:cs="Arial"/>
                <w:b/>
                <w:sz w:val="24"/>
                <w:szCs w:val="24"/>
              </w:rPr>
            </w:pPr>
            <w:r>
              <w:rPr>
                <w:rFonts w:ascii="Arial" w:eastAsia="Times New Roman" w:hAnsi="Arial" w:cs="Arial"/>
                <w:sz w:val="24"/>
                <w:szCs w:val="24"/>
              </w:rPr>
              <w:t>N/A</w:t>
            </w:r>
          </w:p>
        </w:tc>
      </w:tr>
    </w:tbl>
    <w:p w14:paraId="2BD30BFB"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E35E0F" w:rsidRPr="005F7F3E" w14:paraId="5C2CD4E5" w14:textId="77777777" w:rsidTr="00E35E0F">
        <w:tc>
          <w:tcPr>
            <w:tcW w:w="10908" w:type="dxa"/>
          </w:tcPr>
          <w:p w14:paraId="5A7F6563" w14:textId="77777777" w:rsidR="00E35E0F" w:rsidRPr="005F7F3E" w:rsidRDefault="00E35E0F" w:rsidP="00551D8A">
            <w:pPr>
              <w:ind w:right="-720"/>
              <w:rPr>
                <w:rFonts w:ascii="Arial" w:hAnsi="Arial" w:cs="Arial"/>
                <w:sz w:val="24"/>
                <w:szCs w:val="24"/>
              </w:rPr>
            </w:pPr>
          </w:p>
          <w:p w14:paraId="6461728F" w14:textId="77777777" w:rsidR="00E35E0F" w:rsidRPr="005F7F3E" w:rsidRDefault="00E35E0F" w:rsidP="00551D8A">
            <w:pPr>
              <w:ind w:right="-720"/>
              <w:rPr>
                <w:rFonts w:ascii="Arial" w:hAnsi="Arial" w:cs="Arial"/>
                <w:sz w:val="24"/>
                <w:szCs w:val="24"/>
              </w:rPr>
            </w:pPr>
            <w:r w:rsidRPr="005F7F3E">
              <w:rPr>
                <w:rFonts w:ascii="Arial" w:hAnsi="Arial" w:cs="Arial"/>
                <w:b/>
                <w:sz w:val="24"/>
                <w:szCs w:val="24"/>
              </w:rPr>
              <w:t>Potential Implementation</w:t>
            </w:r>
            <w:r w:rsidR="00547EE3" w:rsidRPr="005F7F3E">
              <w:rPr>
                <w:rFonts w:ascii="Arial" w:hAnsi="Arial" w:cs="Arial"/>
                <w:b/>
                <w:sz w:val="24"/>
                <w:szCs w:val="24"/>
              </w:rPr>
              <w:t>:</w:t>
            </w:r>
            <w:r w:rsidRPr="005F7F3E">
              <w:rPr>
                <w:rFonts w:ascii="Arial" w:hAnsi="Arial" w:cs="Arial"/>
                <w:sz w:val="24"/>
                <w:szCs w:val="24"/>
              </w:rPr>
              <w:t xml:space="preserve">  </w:t>
            </w:r>
          </w:p>
          <w:p w14:paraId="0974D1DC" w14:textId="77777777" w:rsidR="00547EE3" w:rsidRPr="005F7F3E" w:rsidRDefault="00547EE3" w:rsidP="00551D8A">
            <w:pPr>
              <w:ind w:right="-720"/>
              <w:rPr>
                <w:rFonts w:ascii="Arial" w:hAnsi="Arial" w:cs="Arial"/>
                <w:sz w:val="24"/>
                <w:szCs w:val="24"/>
              </w:rPr>
            </w:pPr>
          </w:p>
          <w:p w14:paraId="61A3ACB4" w14:textId="77777777" w:rsidR="00E35E0F" w:rsidRPr="005F7F3E" w:rsidRDefault="00E35E0F" w:rsidP="00551D8A">
            <w:pPr>
              <w:ind w:right="-720"/>
              <w:rPr>
                <w:rFonts w:ascii="Arial" w:hAnsi="Arial" w:cs="Arial"/>
                <w:sz w:val="24"/>
                <w:szCs w:val="24"/>
              </w:rPr>
            </w:pPr>
          </w:p>
          <w:p w14:paraId="5F254FAD" w14:textId="77777777" w:rsidR="00E35E0F" w:rsidRPr="005F7F3E" w:rsidRDefault="00E35E0F" w:rsidP="00551D8A">
            <w:pPr>
              <w:ind w:right="-720"/>
              <w:rPr>
                <w:rFonts w:ascii="Arial" w:hAnsi="Arial" w:cs="Arial"/>
                <w:sz w:val="24"/>
                <w:szCs w:val="24"/>
              </w:rPr>
            </w:pPr>
          </w:p>
          <w:p w14:paraId="356E9B55" w14:textId="7DF08654" w:rsidR="00E35E0F" w:rsidRPr="005F7F3E" w:rsidRDefault="00C07B29" w:rsidP="00551D8A">
            <w:pPr>
              <w:ind w:right="-720"/>
              <w:rPr>
                <w:rFonts w:ascii="Arial" w:hAnsi="Arial" w:cs="Arial"/>
                <w:sz w:val="24"/>
                <w:szCs w:val="24"/>
              </w:rPr>
            </w:pPr>
            <w:r w:rsidRPr="005F7F3E">
              <w:rPr>
                <w:rFonts w:ascii="Arial" w:hAnsi="Arial" w:cs="Arial"/>
                <w:sz w:val="24"/>
                <w:szCs w:val="24"/>
              </w:rPr>
              <w:t>N/A</w:t>
            </w:r>
          </w:p>
          <w:p w14:paraId="6F49CC8A" w14:textId="77777777" w:rsidR="00E35E0F" w:rsidRPr="005F7F3E" w:rsidRDefault="00E35E0F" w:rsidP="00551D8A">
            <w:pPr>
              <w:ind w:right="-720"/>
              <w:rPr>
                <w:rFonts w:ascii="Arial" w:hAnsi="Arial" w:cs="Arial"/>
                <w:sz w:val="24"/>
                <w:szCs w:val="24"/>
              </w:rPr>
            </w:pPr>
          </w:p>
          <w:p w14:paraId="7D38C0F7" w14:textId="77777777" w:rsidR="00E35E0F" w:rsidRPr="005F7F3E" w:rsidRDefault="00E35E0F" w:rsidP="00551D8A">
            <w:pPr>
              <w:ind w:right="-720"/>
              <w:rPr>
                <w:rFonts w:ascii="Arial" w:hAnsi="Arial" w:cs="Arial"/>
                <w:sz w:val="24"/>
                <w:szCs w:val="24"/>
              </w:rPr>
            </w:pPr>
          </w:p>
          <w:p w14:paraId="054FC73C" w14:textId="77777777" w:rsidR="00E35E0F" w:rsidRPr="005F7F3E" w:rsidRDefault="00E35E0F" w:rsidP="00551D8A">
            <w:pPr>
              <w:ind w:right="-720"/>
              <w:rPr>
                <w:rFonts w:ascii="Arial" w:hAnsi="Arial" w:cs="Arial"/>
                <w:sz w:val="24"/>
                <w:szCs w:val="24"/>
              </w:rPr>
            </w:pPr>
          </w:p>
          <w:p w14:paraId="609AF3E1" w14:textId="77777777" w:rsidR="00E35E0F" w:rsidRPr="005F7F3E" w:rsidRDefault="00E35E0F" w:rsidP="00551D8A">
            <w:pPr>
              <w:ind w:right="-720"/>
              <w:rPr>
                <w:rFonts w:ascii="Arial" w:hAnsi="Arial" w:cs="Arial"/>
                <w:sz w:val="24"/>
                <w:szCs w:val="24"/>
              </w:rPr>
            </w:pPr>
          </w:p>
          <w:p w14:paraId="338AE996" w14:textId="77777777" w:rsidR="00E35E0F" w:rsidRPr="005F7F3E" w:rsidRDefault="00E35E0F" w:rsidP="00551D8A">
            <w:pPr>
              <w:ind w:right="-720"/>
              <w:rPr>
                <w:rFonts w:ascii="Arial" w:hAnsi="Arial" w:cs="Arial"/>
                <w:sz w:val="24"/>
                <w:szCs w:val="24"/>
              </w:rPr>
            </w:pPr>
          </w:p>
          <w:p w14:paraId="732FFA14" w14:textId="77777777" w:rsidR="00E35E0F" w:rsidRPr="005F7F3E" w:rsidRDefault="00E35E0F" w:rsidP="00551D8A">
            <w:pPr>
              <w:ind w:right="-720"/>
              <w:rPr>
                <w:rFonts w:ascii="Arial" w:hAnsi="Arial" w:cs="Arial"/>
                <w:sz w:val="24"/>
                <w:szCs w:val="24"/>
              </w:rPr>
            </w:pPr>
          </w:p>
          <w:p w14:paraId="1299C243" w14:textId="77777777" w:rsidR="00E35E0F" w:rsidRPr="005F7F3E" w:rsidRDefault="00E35E0F" w:rsidP="00551D8A">
            <w:pPr>
              <w:ind w:right="-720"/>
              <w:rPr>
                <w:rFonts w:ascii="Arial" w:hAnsi="Arial" w:cs="Arial"/>
                <w:sz w:val="24"/>
                <w:szCs w:val="24"/>
              </w:rPr>
            </w:pPr>
          </w:p>
          <w:p w14:paraId="2FBE3485" w14:textId="77777777" w:rsidR="00E35E0F" w:rsidRPr="005F7F3E" w:rsidRDefault="00E35E0F" w:rsidP="00551D8A">
            <w:pPr>
              <w:ind w:right="-720"/>
              <w:rPr>
                <w:rFonts w:ascii="Arial" w:hAnsi="Arial" w:cs="Arial"/>
                <w:sz w:val="24"/>
                <w:szCs w:val="24"/>
              </w:rPr>
            </w:pPr>
          </w:p>
          <w:p w14:paraId="2EF1A44A" w14:textId="77777777" w:rsidR="00E35E0F" w:rsidRPr="005F7F3E" w:rsidRDefault="00E35E0F" w:rsidP="00551D8A">
            <w:pPr>
              <w:ind w:right="-720"/>
              <w:rPr>
                <w:rFonts w:ascii="Arial" w:hAnsi="Arial" w:cs="Arial"/>
                <w:sz w:val="24"/>
                <w:szCs w:val="24"/>
              </w:rPr>
            </w:pPr>
          </w:p>
          <w:p w14:paraId="073879C9" w14:textId="77777777" w:rsidR="00E35E0F" w:rsidRPr="005F7F3E" w:rsidRDefault="00E35E0F" w:rsidP="00551D8A">
            <w:pPr>
              <w:ind w:right="-720"/>
              <w:rPr>
                <w:rFonts w:ascii="Arial" w:hAnsi="Arial" w:cs="Arial"/>
                <w:sz w:val="24"/>
                <w:szCs w:val="24"/>
              </w:rPr>
            </w:pPr>
          </w:p>
          <w:p w14:paraId="1CA4D1C3" w14:textId="77777777" w:rsidR="00E35E0F" w:rsidRPr="005F7F3E" w:rsidRDefault="00E35E0F" w:rsidP="00551D8A">
            <w:pPr>
              <w:ind w:right="-720"/>
              <w:rPr>
                <w:rFonts w:ascii="Arial" w:hAnsi="Arial" w:cs="Arial"/>
                <w:sz w:val="24"/>
                <w:szCs w:val="24"/>
              </w:rPr>
            </w:pPr>
          </w:p>
          <w:p w14:paraId="7A0FF316" w14:textId="77777777" w:rsidR="00E35E0F" w:rsidRPr="005F7F3E" w:rsidRDefault="00E35E0F" w:rsidP="00551D8A">
            <w:pPr>
              <w:ind w:right="-720"/>
              <w:rPr>
                <w:rFonts w:ascii="Arial" w:hAnsi="Arial" w:cs="Arial"/>
                <w:sz w:val="24"/>
                <w:szCs w:val="24"/>
              </w:rPr>
            </w:pPr>
          </w:p>
          <w:p w14:paraId="50ED9D9C" w14:textId="77777777" w:rsidR="00E35E0F" w:rsidRPr="005F7F3E" w:rsidRDefault="00E35E0F" w:rsidP="00551D8A">
            <w:pPr>
              <w:ind w:right="-720"/>
              <w:rPr>
                <w:rFonts w:ascii="Arial" w:hAnsi="Arial" w:cs="Arial"/>
                <w:sz w:val="24"/>
                <w:szCs w:val="24"/>
              </w:rPr>
            </w:pPr>
          </w:p>
          <w:p w14:paraId="46C44502" w14:textId="77777777" w:rsidR="00E35E0F" w:rsidRPr="005F7F3E" w:rsidRDefault="00E35E0F" w:rsidP="00551D8A">
            <w:pPr>
              <w:ind w:right="-720"/>
              <w:rPr>
                <w:rFonts w:ascii="Arial" w:hAnsi="Arial" w:cs="Arial"/>
                <w:sz w:val="24"/>
                <w:szCs w:val="24"/>
              </w:rPr>
            </w:pPr>
          </w:p>
          <w:p w14:paraId="729847AC" w14:textId="77777777" w:rsidR="00E35E0F" w:rsidRPr="005F7F3E" w:rsidRDefault="00E35E0F" w:rsidP="00551D8A">
            <w:pPr>
              <w:ind w:right="-720"/>
              <w:rPr>
                <w:rFonts w:ascii="Arial" w:hAnsi="Arial" w:cs="Arial"/>
                <w:sz w:val="24"/>
                <w:szCs w:val="24"/>
              </w:rPr>
            </w:pPr>
          </w:p>
          <w:p w14:paraId="57028B8B" w14:textId="77777777" w:rsidR="00E35E0F" w:rsidRPr="005F7F3E" w:rsidRDefault="00E35E0F" w:rsidP="00551D8A">
            <w:pPr>
              <w:ind w:right="-720"/>
              <w:rPr>
                <w:rFonts w:ascii="Arial" w:hAnsi="Arial" w:cs="Arial"/>
                <w:sz w:val="24"/>
                <w:szCs w:val="24"/>
              </w:rPr>
            </w:pPr>
          </w:p>
          <w:p w14:paraId="17B0294B" w14:textId="77777777" w:rsidR="00E35E0F" w:rsidRPr="005F7F3E" w:rsidRDefault="00E35E0F" w:rsidP="00551D8A">
            <w:pPr>
              <w:ind w:right="-720"/>
              <w:rPr>
                <w:rFonts w:ascii="Arial" w:hAnsi="Arial" w:cs="Arial"/>
                <w:sz w:val="24"/>
                <w:szCs w:val="24"/>
              </w:rPr>
            </w:pPr>
          </w:p>
        </w:tc>
      </w:tr>
    </w:tbl>
    <w:p w14:paraId="3EF04D4D" w14:textId="77777777" w:rsidR="00E35E0F" w:rsidRPr="005F7F3E" w:rsidRDefault="00E35E0F" w:rsidP="00551D8A">
      <w:pPr>
        <w:spacing w:after="0"/>
        <w:ind w:left="-720" w:right="-720"/>
        <w:rPr>
          <w:rFonts w:ascii="Arial" w:hAnsi="Arial" w:cs="Arial"/>
          <w:sz w:val="24"/>
          <w:szCs w:val="24"/>
        </w:rPr>
      </w:pPr>
    </w:p>
    <w:sectPr w:rsidR="00E35E0F" w:rsidRPr="005F7F3E"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DD56" w14:textId="77777777" w:rsidR="007C4296" w:rsidRDefault="007C4296" w:rsidP="00106C83">
      <w:pPr>
        <w:spacing w:after="0" w:line="240" w:lineRule="auto"/>
      </w:pPr>
      <w:r>
        <w:separator/>
      </w:r>
    </w:p>
  </w:endnote>
  <w:endnote w:type="continuationSeparator" w:id="0">
    <w:p w14:paraId="20A8B00E" w14:textId="77777777" w:rsidR="007C4296" w:rsidRDefault="007C429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46EB" w14:textId="77777777" w:rsidR="007C4296" w:rsidRDefault="007C4296" w:rsidP="00106C83">
      <w:pPr>
        <w:spacing w:after="0" w:line="240" w:lineRule="auto"/>
      </w:pPr>
      <w:r>
        <w:separator/>
      </w:r>
    </w:p>
  </w:footnote>
  <w:footnote w:type="continuationSeparator" w:id="0">
    <w:p w14:paraId="1DF41168" w14:textId="77777777" w:rsidR="007C4296" w:rsidRDefault="007C429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0EC9"/>
    <w:multiLevelType w:val="multilevel"/>
    <w:tmpl w:val="AC1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71C0D"/>
    <w:multiLevelType w:val="multilevel"/>
    <w:tmpl w:val="CDA6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E6F39"/>
    <w:multiLevelType w:val="multilevel"/>
    <w:tmpl w:val="395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E5AD1"/>
    <w:multiLevelType w:val="multilevel"/>
    <w:tmpl w:val="8AC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D09A5"/>
    <w:multiLevelType w:val="multilevel"/>
    <w:tmpl w:val="40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94B28"/>
    <w:multiLevelType w:val="multilevel"/>
    <w:tmpl w:val="0834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186261"/>
    <w:multiLevelType w:val="multilevel"/>
    <w:tmpl w:val="E3DC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E74DF"/>
    <w:multiLevelType w:val="multilevel"/>
    <w:tmpl w:val="A90C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687236">
    <w:abstractNumId w:val="4"/>
  </w:num>
  <w:num w:numId="2" w16cid:durableId="2080901071">
    <w:abstractNumId w:val="6"/>
  </w:num>
  <w:num w:numId="3" w16cid:durableId="1852378270">
    <w:abstractNumId w:val="5"/>
  </w:num>
  <w:num w:numId="4" w16cid:durableId="1882553938">
    <w:abstractNumId w:val="0"/>
  </w:num>
  <w:num w:numId="5" w16cid:durableId="1408650565">
    <w:abstractNumId w:val="1"/>
  </w:num>
  <w:num w:numId="6" w16cid:durableId="1018778057">
    <w:abstractNumId w:val="2"/>
  </w:num>
  <w:num w:numId="7" w16cid:durableId="1569729921">
    <w:abstractNumId w:val="3"/>
  </w:num>
  <w:num w:numId="8" w16cid:durableId="2066829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67B58"/>
    <w:rsid w:val="000736BB"/>
    <w:rsid w:val="000B665A"/>
    <w:rsid w:val="000E7871"/>
    <w:rsid w:val="00106C83"/>
    <w:rsid w:val="001547D0"/>
    <w:rsid w:val="00161153"/>
    <w:rsid w:val="001D35CE"/>
    <w:rsid w:val="001F50EC"/>
    <w:rsid w:val="0021446D"/>
    <w:rsid w:val="002720BF"/>
    <w:rsid w:val="00293FD8"/>
    <w:rsid w:val="002A79C8"/>
    <w:rsid w:val="00310C7C"/>
    <w:rsid w:val="003450F1"/>
    <w:rsid w:val="0038705A"/>
    <w:rsid w:val="003B4A66"/>
    <w:rsid w:val="004144E6"/>
    <w:rsid w:val="004156B2"/>
    <w:rsid w:val="00437734"/>
    <w:rsid w:val="0046750D"/>
    <w:rsid w:val="004E14DC"/>
    <w:rsid w:val="00535598"/>
    <w:rsid w:val="00547EE3"/>
    <w:rsid w:val="00551D8A"/>
    <w:rsid w:val="005624C2"/>
    <w:rsid w:val="00581B36"/>
    <w:rsid w:val="00583E8E"/>
    <w:rsid w:val="005D5792"/>
    <w:rsid w:val="005F7F3E"/>
    <w:rsid w:val="00601EBD"/>
    <w:rsid w:val="0062310D"/>
    <w:rsid w:val="00682C5E"/>
    <w:rsid w:val="006B2B4A"/>
    <w:rsid w:val="006F3970"/>
    <w:rsid w:val="00743C01"/>
    <w:rsid w:val="00790C4A"/>
    <w:rsid w:val="007C4296"/>
    <w:rsid w:val="007E5BD2"/>
    <w:rsid w:val="007F1D64"/>
    <w:rsid w:val="00872F18"/>
    <w:rsid w:val="00874EF7"/>
    <w:rsid w:val="00894CA0"/>
    <w:rsid w:val="008A5DE7"/>
    <w:rsid w:val="008B7736"/>
    <w:rsid w:val="00951408"/>
    <w:rsid w:val="009A1DB0"/>
    <w:rsid w:val="00A43875"/>
    <w:rsid w:val="00A63677"/>
    <w:rsid w:val="00AE46B0"/>
    <w:rsid w:val="00B154D7"/>
    <w:rsid w:val="00B2185C"/>
    <w:rsid w:val="00B242E2"/>
    <w:rsid w:val="00B3284B"/>
    <w:rsid w:val="00B66A21"/>
    <w:rsid w:val="00B71E68"/>
    <w:rsid w:val="00C050B1"/>
    <w:rsid w:val="00C07B29"/>
    <w:rsid w:val="00C13753"/>
    <w:rsid w:val="00C157EF"/>
    <w:rsid w:val="00C51BC0"/>
    <w:rsid w:val="00D05DC0"/>
    <w:rsid w:val="00E03D41"/>
    <w:rsid w:val="00E35E0F"/>
    <w:rsid w:val="00E371D1"/>
    <w:rsid w:val="00E50418"/>
    <w:rsid w:val="00E53738"/>
    <w:rsid w:val="00ED266E"/>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E50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CA0"/>
    <w:rPr>
      <w:b/>
      <w:bCs/>
    </w:rPr>
  </w:style>
  <w:style w:type="character" w:styleId="Hyperlink">
    <w:name w:val="Hyperlink"/>
    <w:basedOn w:val="DefaultParagraphFont"/>
    <w:uiPriority w:val="99"/>
    <w:semiHidden/>
    <w:unhideWhenUsed/>
    <w:rsid w:val="00C07B29"/>
    <w:rPr>
      <w:color w:val="0000FF"/>
      <w:u w:val="single"/>
    </w:rPr>
  </w:style>
  <w:style w:type="character" w:styleId="Emphasis">
    <w:name w:val="Emphasis"/>
    <w:basedOn w:val="DefaultParagraphFont"/>
    <w:uiPriority w:val="20"/>
    <w:qFormat/>
    <w:rsid w:val="009A1D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4078">
      <w:bodyDiv w:val="1"/>
      <w:marLeft w:val="0"/>
      <w:marRight w:val="0"/>
      <w:marTop w:val="0"/>
      <w:marBottom w:val="0"/>
      <w:divBdr>
        <w:top w:val="none" w:sz="0" w:space="0" w:color="auto"/>
        <w:left w:val="none" w:sz="0" w:space="0" w:color="auto"/>
        <w:bottom w:val="none" w:sz="0" w:space="0" w:color="auto"/>
        <w:right w:val="none" w:sz="0" w:space="0" w:color="auto"/>
      </w:divBdr>
    </w:div>
    <w:div w:id="418067747">
      <w:bodyDiv w:val="1"/>
      <w:marLeft w:val="0"/>
      <w:marRight w:val="0"/>
      <w:marTop w:val="0"/>
      <w:marBottom w:val="0"/>
      <w:divBdr>
        <w:top w:val="none" w:sz="0" w:space="0" w:color="auto"/>
        <w:left w:val="none" w:sz="0" w:space="0" w:color="auto"/>
        <w:bottom w:val="none" w:sz="0" w:space="0" w:color="auto"/>
        <w:right w:val="none" w:sz="0" w:space="0" w:color="auto"/>
      </w:divBdr>
    </w:div>
    <w:div w:id="722873983">
      <w:bodyDiv w:val="1"/>
      <w:marLeft w:val="0"/>
      <w:marRight w:val="0"/>
      <w:marTop w:val="0"/>
      <w:marBottom w:val="0"/>
      <w:divBdr>
        <w:top w:val="none" w:sz="0" w:space="0" w:color="auto"/>
        <w:left w:val="none" w:sz="0" w:space="0" w:color="auto"/>
        <w:bottom w:val="none" w:sz="0" w:space="0" w:color="auto"/>
        <w:right w:val="none" w:sz="0" w:space="0" w:color="auto"/>
      </w:divBdr>
    </w:div>
    <w:div w:id="1011419154">
      <w:bodyDiv w:val="1"/>
      <w:marLeft w:val="0"/>
      <w:marRight w:val="0"/>
      <w:marTop w:val="0"/>
      <w:marBottom w:val="0"/>
      <w:divBdr>
        <w:top w:val="none" w:sz="0" w:space="0" w:color="auto"/>
        <w:left w:val="none" w:sz="0" w:space="0" w:color="auto"/>
        <w:bottom w:val="none" w:sz="0" w:space="0" w:color="auto"/>
        <w:right w:val="none" w:sz="0" w:space="0" w:color="auto"/>
      </w:divBdr>
    </w:div>
    <w:div w:id="1107578709">
      <w:bodyDiv w:val="1"/>
      <w:marLeft w:val="0"/>
      <w:marRight w:val="0"/>
      <w:marTop w:val="0"/>
      <w:marBottom w:val="0"/>
      <w:divBdr>
        <w:top w:val="none" w:sz="0" w:space="0" w:color="auto"/>
        <w:left w:val="none" w:sz="0" w:space="0" w:color="auto"/>
        <w:bottom w:val="none" w:sz="0" w:space="0" w:color="auto"/>
        <w:right w:val="none" w:sz="0" w:space="0" w:color="auto"/>
      </w:divBdr>
    </w:div>
    <w:div w:id="1212965278">
      <w:bodyDiv w:val="1"/>
      <w:marLeft w:val="0"/>
      <w:marRight w:val="0"/>
      <w:marTop w:val="0"/>
      <w:marBottom w:val="0"/>
      <w:divBdr>
        <w:top w:val="none" w:sz="0" w:space="0" w:color="auto"/>
        <w:left w:val="none" w:sz="0" w:space="0" w:color="auto"/>
        <w:bottom w:val="none" w:sz="0" w:space="0" w:color="auto"/>
        <w:right w:val="none" w:sz="0" w:space="0" w:color="auto"/>
      </w:divBdr>
    </w:div>
    <w:div w:id="1775632418">
      <w:bodyDiv w:val="1"/>
      <w:marLeft w:val="0"/>
      <w:marRight w:val="0"/>
      <w:marTop w:val="0"/>
      <w:marBottom w:val="0"/>
      <w:divBdr>
        <w:top w:val="none" w:sz="0" w:space="0" w:color="auto"/>
        <w:left w:val="none" w:sz="0" w:space="0" w:color="auto"/>
        <w:bottom w:val="none" w:sz="0" w:space="0" w:color="auto"/>
        <w:right w:val="none" w:sz="0" w:space="0" w:color="auto"/>
      </w:divBdr>
    </w:div>
    <w:div w:id="18273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A101EE2E2228448218BF6C02DF9D4D" ma:contentTypeVersion="87" ma:contentTypeDescription="Create a new document." ma:contentTypeScope="" ma:versionID="05c1f11b7468314cbd10522bacb5fa12">
  <xsd:schema xmlns:xsd="http://www.w3.org/2001/XMLSchema" xmlns:xs="http://www.w3.org/2001/XMLSchema" xmlns:p="http://schemas.microsoft.com/office/2006/metadata/properties" xmlns:ns1="http://schemas.microsoft.com/sharepoint/v3" xmlns:ns2="dee9fee9-04b1-4506-bf68-b4aacb58dbd4" xmlns:ns3="56963302-5c31-401d-a271-72bffc9469c9" xmlns:ns4="http://schemas.microsoft.com/sharepoint/v4" targetNamespace="http://schemas.microsoft.com/office/2006/metadata/properties" ma:root="true" ma:fieldsID="2f185e67b82a28c291f32b31ac80f4fc" ns1:_="" ns2:_="" ns3:_="" ns4:_="">
    <xsd:import namespace="http://schemas.microsoft.com/sharepoint/v3"/>
    <xsd:import namespace="dee9fee9-04b1-4506-bf68-b4aacb58dbd4"/>
    <xsd:import namespace="56963302-5c31-401d-a271-72bffc9469c9"/>
    <xsd:import namespace="http://schemas.microsoft.com/sharepoint/v4"/>
    <xsd:element name="properties">
      <xsd:complexType>
        <xsd:sequence>
          <xsd:element name="documentManagement">
            <xsd:complexType>
              <xsd:all>
                <xsd:element ref="ns2:Status" minOccurs="0"/>
                <xsd:element ref="ns2:Category" minOccurs="0"/>
                <xsd:element ref="ns2:Manager_x0027_s_x0020_name" minOccurs="0"/>
                <xsd:element ref="ns3:Contractor_x0020_Name" minOccurs="0"/>
                <xsd:element ref="ns2:Project_x0020_Fiscal_x0020_Year" minOccurs="0"/>
                <xsd:element ref="ns2:Status_x0020_Notes" minOccurs="0"/>
                <xsd:element ref="ns1:PublishingStartDate" minOccurs="0"/>
                <xsd:element ref="ns1:PublishingExpirationDate" minOccurs="0"/>
                <xsd:element ref="ns3:PI" minOccurs="0"/>
                <xsd:element ref="ns2:Draft_x0020_Report_x0020_Due" minOccurs="0"/>
                <xsd:element ref="ns2:Final_x0020_Report_x0020_Due" minOccurs="0"/>
                <xsd:element ref="ns1:LikesCount" minOccurs="0"/>
                <xsd:element ref="ns1:AverageRating" minOccurs="0"/>
                <xsd:element ref="ns1:RatingCount" minOccurs="0"/>
                <xsd:element ref="ns1:RatedBy" minOccurs="0"/>
                <xsd:element ref="ns1:LikedBy" minOccurs="0"/>
                <xsd:element ref="ns1:Rating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ma:readOnly="false">
      <xsd:simpleType>
        <xsd:restriction base="dms:Unknown"/>
      </xsd:simpleType>
    </xsd:element>
    <xsd:element name="PublishingExpirationDate" ma:index="9" nillable="true" ma:displayName="Scheduling End Date" ma:description="" ma:internalName="PublishingExpirationDate" ma:readOnly="false">
      <xsd:simpleType>
        <xsd:restriction base="dms:Unknown"/>
      </xsd:simpleType>
    </xsd:element>
    <xsd:element name="LikesCount" ma:index="13" nillable="true" ma:displayName="Number of Likes" ma:internalName="LikesCount">
      <xsd:simpleType>
        <xsd:restriction base="dms:Unknown"/>
      </xsd:simpleType>
    </xsd:element>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9fee9-04b1-4506-bf68-b4aacb58dbd4" elementFormDefault="qualified">
    <xsd:import namespace="http://schemas.microsoft.com/office/2006/documentManagement/types"/>
    <xsd:import namespace="http://schemas.microsoft.com/office/infopath/2007/PartnerControls"/>
    <xsd:element name="Status" ma:index="2" nillable="true" ma:displayName="Status" ma:default="Active" ma:format="Dropdown" ma:indexed="true" ma:internalName="Status" ma:readOnly="false">
      <xsd:simpleType>
        <xsd:restriction base="dms:Choice">
          <xsd:enumeration value="Active"/>
          <xsd:enumeration value="Inactive"/>
        </xsd:restriction>
      </xsd:simpleType>
    </xsd:element>
    <xsd:element name="Category" ma:index="3" nillable="true" ma:displayName="Category" ma:default="Uncategorized" ma:format="Dropdown" ma:internalName="Category" ma:readOnly="false">
      <xsd:simpleType>
        <xsd:union memberTypes="dms:Text">
          <xsd:simpleType>
            <xsd:restriction base="dms:Choice">
              <xsd:enumeration value="Contracting"/>
              <xsd:enumeration value="Correspondence"/>
              <xsd:enumeration value="Evaluation"/>
              <xsd:enumeration value="Invoices"/>
              <xsd:enumeration value="Implementation"/>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4" nillable="true" ma:displayName="Manager's Name" ma:format="Dropdown" ma:internalName="Manager_x0027_s_x0020_name" ma:readOnly="false">
      <xsd:simpleType>
        <xsd:restriction base="dms:Choice">
          <xsd:enumeration value="Brent Schulte"/>
          <xsd:enumeration value="Jen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enumeration value="Scott Breeding"/>
          <xsd:enumeration value="Jenni Hosey"/>
        </xsd:restriction>
      </xsd:simpleType>
    </xsd:element>
    <xsd:element name="Project_x0020_Fiscal_x0020_Year" ma:index="6" nillable="true" ma:displayName="Project Fiscal Year" ma:internalName="Project_x0020_Fiscal_x0020_Year" ma:readOnly="false">
      <xsd:simpleType>
        <xsd:restriction base="dms:Text">
          <xsd:maxLength value="4"/>
        </xsd:restriction>
      </xsd:simpleType>
    </xsd:element>
    <xsd:element name="Status_x0020_Notes" ma:index="7" nillable="true" ma:displayName="Status Notes" ma:internalName="Status_x0020_Notes" ma:readOnly="false">
      <xsd:simpleType>
        <xsd:restriction base="dms:Note">
          <xsd:maxLength value="255"/>
        </xsd:restriction>
      </xsd:simpleType>
    </xsd:element>
    <xsd:element name="Draft_x0020_Report_x0020_Due" ma:index="11" nillable="true" ma:displayName="Draft Report Due" ma:format="DateOnly" ma:internalName="Draft_x0020_Report_x0020_Due" ma:readOnly="false">
      <xsd:simpleType>
        <xsd:restriction base="dms:DateTime"/>
      </xsd:simpleType>
    </xsd:element>
    <xsd:element name="Final_x0020_Report_x0020_Due" ma:index="12" nillable="true" ma:displayName="Final Report Due" ma:format="DateOnly" ma:internalName="Final_x0020_Report_x0020_Due" ma:readOnly="false">
      <xsd:simpleType>
        <xsd:restriction base="dms:DateTim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Contractor_x0020_Name" ma:index="5" nillable="true" ma:displayName="Contractor name" ma:default="No award yet" ma:format="Dropdown" ma:internalName="Contractor_x0020_Name" ma:readOnly="false">
      <xsd:simpleType>
        <xsd:union memberTypes="dms:Text">
          <xsd:simpleType>
            <xsd:restriction base="dms:Choice">
              <xsd:enumeration value="No award yet"/>
              <xsd:enumeration value="Applied Research Associates"/>
              <xsd:enumeration value="Cambridge Systematics"/>
              <xsd:enumeration value="CBB"/>
              <xsd:enumeration value="CMT"/>
              <xsd:enumeration value="Copperhead Environmental Consulting, Inc."/>
              <xsd:enumeration value="Dudek"/>
              <xsd:enumeration value="Hanson Professional Services"/>
              <xsd:enumeration value="Heartland Marketing Research"/>
              <xsd:enumeration value="High Street Consulting Group"/>
              <xsd:enumeration value="MCTI"/>
              <xsd:enumeration value="MCTI/Missouri S&amp;T"/>
              <xsd:enumeration value="MCTI/MU"/>
              <xsd:enumeration value="MCTI/UMKC"/>
              <xsd:enumeration value="Micro Systems Inc."/>
              <xsd:enumeration value="Midwest Research Institute"/>
              <xsd:enumeration value="Missouri S&amp;T"/>
              <xsd:enumeration value="MRI Global"/>
              <xsd:enumeration value="None"/>
              <xsd:enumeration value="RAO Research and Consulting"/>
              <xsd:enumeration value="SCI Engineer, Inc."/>
              <xsd:enumeration value="Secretary of State"/>
              <xsd:enumeration value="Shannon and Wilson, Inc."/>
              <xsd:enumeration value="Shared Use Mobility Center"/>
              <xsd:enumeration value="SLU"/>
              <xsd:enumeration value="Solar Roadways"/>
              <xsd:enumeration value="SRF Consulting Group, Inc."/>
              <xsd:enumeration value="Techstreet"/>
              <xsd:enumeration value="The Kercher Group, Inc"/>
              <xsd:enumeration value="Transtec Group, Inc."/>
              <xsd:enumeration value="University of Missouri-Columbia"/>
              <xsd:enumeration value="University of Oklahoma"/>
              <xsd:enumeration value="USGS"/>
              <xsd:enumeration value="NA"/>
              <xsd:maxLength value="255"/>
            </xsd:restriction>
          </xsd:simpleType>
        </xsd:union>
      </xsd:simpleType>
    </xsd:element>
    <xsd:element name="PI" ma:index="10" nillable="true" ma:displayName="PI" ma:list="{810d8352-a433-43a4-9f7a-3a3947f38f59}" ma:internalName="PI" ma:readOnly="false" ma:showField="Email" ma:web="56963302-5c31-401d-a271-72bffc9469c9">
      <xsd:simpleType>
        <xsd:restriction base="dms:Lookup"/>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Contractor_x0020_Name xmlns="56963302-5c31-401d-a271-72bffc9469c9">No award yet</Contractor_x0020_Name>
    <IconOverlay xmlns="http://schemas.microsoft.com/sharepoint/v4" xsi:nil="true"/>
    <Status xmlns="dee9fee9-04b1-4506-bf68-b4aacb58dbd4">Active</Status>
    <Final_x0020_Report_x0020_Due xmlns="dee9fee9-04b1-4506-bf68-b4aacb58dbd4" xsi:nil="true"/>
    <Ratings xmlns="http://schemas.microsoft.com/sharepoint/v3" xsi:nil="true"/>
    <lcf76f155ced4ddcb4097134ff3c332f xmlns="dee9fee9-04b1-4506-bf68-b4aacb58dbd4">
      <Terms xmlns="http://schemas.microsoft.com/office/infopath/2007/PartnerControls"/>
    </lcf76f155ced4ddcb4097134ff3c332f>
    <PI xmlns="56963302-5c31-401d-a271-72bffc9469c9" xsi:nil="true"/>
    <Draft_x0020_Report_x0020_Due xmlns="dee9fee9-04b1-4506-bf68-b4aacb58dbd4" xsi:nil="true"/>
    <LikedBy xmlns="http://schemas.microsoft.com/sharepoint/v3">
      <UserInfo>
        <DisplayName/>
        <AccountId xsi:nil="true"/>
        <AccountType/>
      </UserInfo>
    </LikedBy>
    <_ip_UnifiedCompliancePolicyProperties xmlns="http://schemas.microsoft.com/sharepoint/v3" xsi:nil="true"/>
    <Status_x0020_Notes xmlns="dee9fee9-04b1-4506-bf68-b4aacb58dbd4" xsi:nil="true"/>
    <PublishingExpirationDate xmlns="http://schemas.microsoft.com/sharepoint/v3" xsi:nil="true"/>
    <TaxCatchAll xmlns="56963302-5c31-401d-a271-72bffc9469c9" xsi:nil="true"/>
    <PublishingStartDate xmlns="http://schemas.microsoft.com/sharepoint/v3" xsi:nil="true"/>
    <Manager_x0027_s_x0020_name xmlns="dee9fee9-04b1-4506-bf68-b4aacb58dbd4">Jen Harper</Manager_x0027_s_x0020_name>
    <Category xmlns="dee9fee9-04b1-4506-bf68-b4aacb58dbd4">Reporting</Category>
    <Project_x0020_Fiscal_x0020_Year xmlns="dee9fee9-04b1-4506-bf68-b4aacb58dbd4">2025</Project_x0020_Fiscal_x0020_Year>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2.xml><?xml version="1.0" encoding="utf-8"?>
<ds:datastoreItem xmlns:ds="http://schemas.openxmlformats.org/officeDocument/2006/customXml" ds:itemID="{B13D48A2-5929-443E-A044-133E0B7ADF71}"/>
</file>

<file path=customXml/itemProps3.xml><?xml version="1.0" encoding="utf-8"?>
<ds:datastoreItem xmlns:ds="http://schemas.openxmlformats.org/officeDocument/2006/customXml" ds:itemID="{9AE971B0-5B7A-418D-B899-240E6CC0F10A}"/>
</file>

<file path=customXml/itemProps4.xml><?xml version="1.0" encoding="utf-8"?>
<ds:datastoreItem xmlns:ds="http://schemas.openxmlformats.org/officeDocument/2006/customXml" ds:itemID="{DFE5FB3D-8413-47A0-A733-EE306AB9BD1F}"/>
</file>

<file path=docProps/app.xml><?xml version="1.0" encoding="utf-8"?>
<Properties xmlns="http://schemas.openxmlformats.org/officeDocument/2006/extended-properties" xmlns:vt="http://schemas.openxmlformats.org/officeDocument/2006/docPropsVTypes">
  <Template>Normal.dotm</Template>
  <TotalTime>22</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TPF TR202501 Quarterly Report Q4</dc:title>
  <dc:subject/>
  <dc:creator>lisa.williams</dc:creator>
  <cp:keywords/>
  <dc:description/>
  <cp:lastModifiedBy>Adu-Gyamfi, Yaw</cp:lastModifiedBy>
  <cp:revision>8</cp:revision>
  <cp:lastPrinted>2011-06-21T20:32:00Z</cp:lastPrinted>
  <dcterms:created xsi:type="dcterms:W3CDTF">2025-01-02T20:47:00Z</dcterms:created>
  <dcterms:modified xsi:type="dcterms:W3CDTF">2025-10-12T04:33:00Z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0x010100D9A101EE2E2228448218BF6C02DF9D4D</vt:lpwstr>
  </property>
  <property fmtid="{D5CDD505-2E9C-101B-9397-08002B2CF9AE}" pid="3" name="Order">
    <vt:r8>3193200</vt:r8>
  </property>
  <property fmtid="{D5CDD505-2E9C-101B-9397-08002B2CF9AE}" pid="4" name="MediaServiceImageTags">
    <vt:lpwstr/>
  </property>
</Properties>
</file>