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TRANSPORTATION POOLED FUND PROGRAM</w:t>
      </w:r>
    </w:p>
    <w:p w14:paraId="5393256D"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QUARTERLY PROGRESS REPORT</w:t>
      </w:r>
    </w:p>
    <w:p w14:paraId="4F0F97F8" w14:textId="77777777" w:rsidR="00551D8A" w:rsidRPr="005F7F3E" w:rsidRDefault="00551D8A" w:rsidP="00551D8A">
      <w:pPr>
        <w:spacing w:after="0"/>
        <w:rPr>
          <w:rFonts w:ascii="Arial" w:hAnsi="Arial" w:cs="Arial"/>
          <w:sz w:val="24"/>
          <w:szCs w:val="24"/>
        </w:rPr>
      </w:pPr>
    </w:p>
    <w:p w14:paraId="2907772B" w14:textId="684A25FC" w:rsidR="00FF32BE" w:rsidRPr="005F7F3E" w:rsidRDefault="00551D8A" w:rsidP="001F50EC">
      <w:pPr>
        <w:spacing w:after="0"/>
        <w:ind w:left="-720" w:right="-720"/>
        <w:rPr>
          <w:rFonts w:ascii="Arial" w:hAnsi="Arial" w:cs="Arial"/>
          <w:sz w:val="24"/>
          <w:szCs w:val="24"/>
        </w:rPr>
      </w:pPr>
      <w:r w:rsidRPr="005F7F3E">
        <w:rPr>
          <w:rFonts w:ascii="Arial" w:hAnsi="Arial" w:cs="Arial"/>
          <w:sz w:val="24"/>
          <w:szCs w:val="24"/>
        </w:rPr>
        <w:t>Lead Agency</w:t>
      </w:r>
      <w:r w:rsidR="00FF32BE" w:rsidRPr="005F7F3E">
        <w:rPr>
          <w:rFonts w:ascii="Arial" w:hAnsi="Arial" w:cs="Arial"/>
          <w:sz w:val="24"/>
          <w:szCs w:val="24"/>
        </w:rPr>
        <w:t xml:space="preserve"> (FHWA or State DOT)</w:t>
      </w:r>
      <w:r w:rsidRPr="005F7F3E">
        <w:rPr>
          <w:rFonts w:ascii="Arial" w:hAnsi="Arial" w:cs="Arial"/>
          <w:sz w:val="24"/>
          <w:szCs w:val="24"/>
        </w:rPr>
        <w:t>:</w:t>
      </w:r>
      <w:r w:rsidR="00FF32BE" w:rsidRPr="005F7F3E">
        <w:rPr>
          <w:rFonts w:ascii="Arial" w:hAnsi="Arial" w:cs="Arial"/>
          <w:sz w:val="24"/>
          <w:szCs w:val="24"/>
        </w:rPr>
        <w:t xml:space="preserve">  </w:t>
      </w:r>
      <w:r w:rsidR="001F50EC" w:rsidRPr="005F7F3E">
        <w:rPr>
          <w:rFonts w:ascii="Arial" w:hAnsi="Arial" w:cs="Arial"/>
          <w:sz w:val="24"/>
          <w:szCs w:val="24"/>
        </w:rPr>
        <w:t>Missouri DOT</w:t>
      </w:r>
    </w:p>
    <w:p w14:paraId="1E7376E1" w14:textId="77777777" w:rsidR="00551D8A" w:rsidRPr="005F7F3E" w:rsidRDefault="00551D8A" w:rsidP="00551D8A">
      <w:pPr>
        <w:spacing w:after="0"/>
        <w:ind w:left="-720" w:right="-720"/>
        <w:rPr>
          <w:rFonts w:ascii="Arial" w:hAnsi="Arial" w:cs="Arial"/>
          <w:b/>
          <w:sz w:val="24"/>
          <w:szCs w:val="24"/>
        </w:rPr>
      </w:pPr>
      <w:r w:rsidRPr="005F7F3E">
        <w:rPr>
          <w:rFonts w:ascii="Arial" w:hAnsi="Arial" w:cs="Arial"/>
          <w:b/>
          <w:sz w:val="24"/>
          <w:szCs w:val="24"/>
        </w:rPr>
        <w:t>INSTRUCTIONS:</w:t>
      </w:r>
    </w:p>
    <w:p w14:paraId="4EA44970" w14:textId="19DE09DC" w:rsidR="00551D8A" w:rsidRPr="005F7F3E" w:rsidRDefault="00B154D7" w:rsidP="00551D8A">
      <w:pPr>
        <w:spacing w:after="0"/>
        <w:ind w:left="-720" w:right="-720"/>
        <w:rPr>
          <w:rFonts w:ascii="Arial" w:hAnsi="Arial" w:cs="Arial"/>
          <w:i/>
          <w:sz w:val="24"/>
          <w:szCs w:val="24"/>
        </w:rPr>
      </w:pPr>
      <w:r w:rsidRPr="005F7F3E">
        <w:rPr>
          <w:rFonts w:ascii="Arial" w:hAnsi="Arial" w:cs="Arial"/>
          <w:i/>
          <w:sz w:val="24"/>
          <w:szCs w:val="24"/>
        </w:rPr>
        <w:t xml:space="preserve">Lead Agency contacts </w:t>
      </w:r>
      <w:r w:rsidR="00872F18" w:rsidRPr="005F7F3E">
        <w:rPr>
          <w:rFonts w:ascii="Arial" w:hAnsi="Arial" w:cs="Arial"/>
          <w:i/>
          <w:sz w:val="24"/>
          <w:szCs w:val="24"/>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F3E">
        <w:rPr>
          <w:rFonts w:ascii="Arial" w:hAnsi="Arial" w:cs="Arial"/>
          <w:i/>
          <w:sz w:val="24"/>
          <w:szCs w:val="24"/>
        </w:rPr>
        <w:t>current status</w:t>
      </w:r>
      <w:proofErr w:type="gramEnd"/>
      <w:r w:rsidR="00872F18" w:rsidRPr="005F7F3E">
        <w:rPr>
          <w:rFonts w:ascii="Arial" w:hAnsi="Arial" w:cs="Arial"/>
          <w:i/>
          <w:sz w:val="24"/>
          <w:szCs w:val="24"/>
        </w:rPr>
        <w:t>, including accomplishments and problems encountered, if any.  List all tasks, even if no work was done during this period.</w:t>
      </w:r>
    </w:p>
    <w:p w14:paraId="0FA23445" w14:textId="77777777" w:rsidR="00551D8A" w:rsidRPr="005F7F3E"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064"/>
        <w:gridCol w:w="1238"/>
        <w:gridCol w:w="2011"/>
        <w:gridCol w:w="3595"/>
      </w:tblGrid>
      <w:tr w:rsidR="00551D8A" w:rsidRPr="005F7F3E" w14:paraId="7B520428" w14:textId="77777777" w:rsidTr="00743C01">
        <w:trPr>
          <w:trHeight w:val="1997"/>
        </w:trPr>
        <w:tc>
          <w:tcPr>
            <w:tcW w:w="5418" w:type="dxa"/>
            <w:gridSpan w:val="2"/>
          </w:tcPr>
          <w:p w14:paraId="5CBBE1BA"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 xml:space="preserve">Transportation </w:t>
            </w:r>
            <w:r w:rsidR="00551D8A" w:rsidRPr="005F7F3E">
              <w:rPr>
                <w:rFonts w:ascii="Arial" w:hAnsi="Arial" w:cs="Arial"/>
                <w:b/>
                <w:sz w:val="24"/>
                <w:szCs w:val="24"/>
              </w:rPr>
              <w:t xml:space="preserve">Pooled Fund </w:t>
            </w:r>
            <w:r w:rsidRPr="005F7F3E">
              <w:rPr>
                <w:rFonts w:ascii="Arial" w:hAnsi="Arial" w:cs="Arial"/>
                <w:b/>
                <w:sz w:val="24"/>
                <w:szCs w:val="24"/>
              </w:rPr>
              <w:t xml:space="preserve">Program </w:t>
            </w:r>
            <w:r w:rsidR="00551D8A" w:rsidRPr="005F7F3E">
              <w:rPr>
                <w:rFonts w:ascii="Arial" w:hAnsi="Arial" w:cs="Arial"/>
                <w:b/>
                <w:sz w:val="24"/>
                <w:szCs w:val="24"/>
              </w:rPr>
              <w:t>Project #</w:t>
            </w:r>
          </w:p>
          <w:p w14:paraId="2ECF9249" w14:textId="72459212" w:rsidR="00872F18" w:rsidRPr="005F7F3E" w:rsidRDefault="00872F18" w:rsidP="00551D8A">
            <w:pPr>
              <w:ind w:right="-720"/>
              <w:rPr>
                <w:rFonts w:ascii="Arial" w:hAnsi="Arial" w:cs="Arial"/>
                <w:i/>
                <w:sz w:val="24"/>
                <w:szCs w:val="24"/>
              </w:rPr>
            </w:pPr>
            <w:r w:rsidRPr="005F7F3E">
              <w:rPr>
                <w:rFonts w:ascii="Arial" w:hAnsi="Arial" w:cs="Arial"/>
                <w:i/>
                <w:sz w:val="24"/>
                <w:szCs w:val="24"/>
              </w:rPr>
              <w:t>TPF-5(</w:t>
            </w:r>
            <w:r w:rsidR="00310C7C" w:rsidRPr="005F7F3E">
              <w:rPr>
                <w:rFonts w:ascii="Arial" w:hAnsi="Arial" w:cs="Arial"/>
                <w:i/>
                <w:sz w:val="24"/>
                <w:szCs w:val="24"/>
              </w:rPr>
              <w:t>539</w:t>
            </w:r>
            <w:r w:rsidRPr="005F7F3E">
              <w:rPr>
                <w:rFonts w:ascii="Arial" w:hAnsi="Arial" w:cs="Arial"/>
                <w:i/>
                <w:sz w:val="24"/>
                <w:szCs w:val="24"/>
              </w:rPr>
              <w:t>)</w:t>
            </w:r>
          </w:p>
          <w:p w14:paraId="6C2BBBB4" w14:textId="77777777" w:rsidR="00E35E0F" w:rsidRPr="005F7F3E" w:rsidRDefault="00E35E0F" w:rsidP="00551D8A">
            <w:pPr>
              <w:ind w:right="-720"/>
              <w:rPr>
                <w:rFonts w:ascii="Arial" w:hAnsi="Arial" w:cs="Arial"/>
                <w:i/>
                <w:sz w:val="24"/>
                <w:szCs w:val="24"/>
              </w:rPr>
            </w:pPr>
          </w:p>
          <w:p w14:paraId="64CCE9A4" w14:textId="77777777" w:rsidR="00E35E0F" w:rsidRPr="005F7F3E" w:rsidRDefault="00E35E0F" w:rsidP="00551D8A">
            <w:pPr>
              <w:ind w:right="-720"/>
              <w:rPr>
                <w:rFonts w:ascii="Arial" w:hAnsi="Arial" w:cs="Arial"/>
                <w:sz w:val="24"/>
                <w:szCs w:val="24"/>
              </w:rPr>
            </w:pPr>
          </w:p>
        </w:tc>
        <w:tc>
          <w:tcPr>
            <w:tcW w:w="5490" w:type="dxa"/>
            <w:gridSpan w:val="2"/>
          </w:tcPr>
          <w:p w14:paraId="242C1F28"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Transportation Pooled Fund Program - Report P</w:t>
            </w:r>
            <w:r w:rsidR="00551D8A" w:rsidRPr="005F7F3E">
              <w:rPr>
                <w:rFonts w:ascii="Arial" w:hAnsi="Arial" w:cs="Arial"/>
                <w:b/>
                <w:sz w:val="24"/>
                <w:szCs w:val="24"/>
              </w:rPr>
              <w:t>eriod:</w:t>
            </w:r>
          </w:p>
          <w:p w14:paraId="4BB40E8F"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1 (January 1 – March 31)</w:t>
            </w:r>
          </w:p>
          <w:p w14:paraId="559F534C"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2 (April 1 – June 30)</w:t>
            </w:r>
          </w:p>
          <w:p w14:paraId="5C4B7229"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3 (July 1 – September 30)</w:t>
            </w:r>
          </w:p>
          <w:p w14:paraId="556769C8"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w:t>
            </w:r>
            <w:r w:rsidR="00581B36" w:rsidRPr="005F7F3E">
              <w:rPr>
                <w:rFonts w:ascii="Arial" w:hAnsi="Arial" w:cs="Arial"/>
                <w:sz w:val="24"/>
                <w:szCs w:val="24"/>
              </w:rPr>
              <w:t>Quarter 4 (October 1</w:t>
            </w:r>
            <w:r w:rsidRPr="005F7F3E">
              <w:rPr>
                <w:rFonts w:ascii="Arial" w:hAnsi="Arial" w:cs="Arial"/>
                <w:sz w:val="24"/>
                <w:szCs w:val="24"/>
              </w:rPr>
              <w:t xml:space="preserve"> – December 31)</w:t>
            </w:r>
          </w:p>
        </w:tc>
      </w:tr>
      <w:tr w:rsidR="00743C01" w:rsidRPr="005F7F3E" w14:paraId="2EA80DA2" w14:textId="77777777" w:rsidTr="00874EF7">
        <w:tc>
          <w:tcPr>
            <w:tcW w:w="10908" w:type="dxa"/>
            <w:gridSpan w:val="4"/>
          </w:tcPr>
          <w:p w14:paraId="14765EF5" w14:textId="44B4224E" w:rsidR="00743C01" w:rsidRPr="005F7F3E" w:rsidRDefault="00B154D7" w:rsidP="00551D8A">
            <w:pPr>
              <w:ind w:right="-720"/>
              <w:rPr>
                <w:rFonts w:ascii="Arial" w:hAnsi="Arial" w:cs="Arial"/>
                <w:b/>
                <w:sz w:val="24"/>
                <w:szCs w:val="24"/>
              </w:rPr>
            </w:pPr>
            <w:r w:rsidRPr="005F7F3E">
              <w:rPr>
                <w:rFonts w:ascii="Arial" w:hAnsi="Arial" w:cs="Arial"/>
                <w:b/>
                <w:sz w:val="24"/>
                <w:szCs w:val="24"/>
              </w:rPr>
              <w:t>TPF Study Number and Title</w:t>
            </w:r>
            <w:r w:rsidR="00743C01" w:rsidRPr="005F7F3E">
              <w:rPr>
                <w:rFonts w:ascii="Arial" w:hAnsi="Arial" w:cs="Arial"/>
                <w:b/>
                <w:sz w:val="24"/>
                <w:szCs w:val="24"/>
              </w:rPr>
              <w:t>:</w:t>
            </w:r>
          </w:p>
          <w:p w14:paraId="1C258A30" w14:textId="2994DAA7" w:rsidR="00535598" w:rsidRPr="005F7F3E" w:rsidRDefault="00E03D41" w:rsidP="00551D8A">
            <w:pPr>
              <w:ind w:right="-720"/>
              <w:rPr>
                <w:rFonts w:ascii="Arial" w:hAnsi="Arial" w:cs="Arial"/>
                <w:iCs/>
                <w:sz w:val="24"/>
                <w:szCs w:val="24"/>
              </w:rPr>
            </w:pPr>
            <w:r w:rsidRPr="005F7F3E">
              <w:rPr>
                <w:rFonts w:ascii="Arial" w:hAnsi="Arial" w:cs="Arial"/>
                <w:iCs/>
                <w:sz w:val="24"/>
                <w:szCs w:val="24"/>
              </w:rPr>
              <w:t>TPF-5(539) Establishment of a Public-Private Transportation Data Exchange Center</w:t>
            </w:r>
          </w:p>
          <w:p w14:paraId="67331B37" w14:textId="77777777" w:rsidR="00743C01" w:rsidRPr="005F7F3E" w:rsidRDefault="00743C01" w:rsidP="00551D8A">
            <w:pPr>
              <w:ind w:right="-720"/>
              <w:rPr>
                <w:rFonts w:ascii="Arial" w:hAnsi="Arial" w:cs="Arial"/>
                <w:sz w:val="24"/>
                <w:szCs w:val="24"/>
              </w:rPr>
            </w:pPr>
          </w:p>
        </w:tc>
      </w:tr>
      <w:tr w:rsidR="00743C01" w:rsidRPr="005F7F3E" w14:paraId="29A96DC5" w14:textId="77777777" w:rsidTr="00C13753">
        <w:tc>
          <w:tcPr>
            <w:tcW w:w="4158" w:type="dxa"/>
          </w:tcPr>
          <w:p w14:paraId="7B4E9DD8"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Lead Agency Contact:</w:t>
            </w:r>
          </w:p>
          <w:p w14:paraId="001FD4F9" w14:textId="1B0CC33B"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 Harper</w:t>
            </w:r>
          </w:p>
        </w:tc>
        <w:tc>
          <w:tcPr>
            <w:tcW w:w="3330" w:type="dxa"/>
            <w:gridSpan w:val="2"/>
          </w:tcPr>
          <w:p w14:paraId="4E3DEDFE"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Phone Number:</w:t>
            </w:r>
          </w:p>
          <w:p w14:paraId="603A151E" w14:textId="70387F0F" w:rsidR="008A5DE7" w:rsidRPr="005F7F3E" w:rsidRDefault="008A5DE7" w:rsidP="00551D8A">
            <w:pPr>
              <w:ind w:right="-720"/>
              <w:rPr>
                <w:rFonts w:ascii="Arial" w:hAnsi="Arial" w:cs="Arial"/>
                <w:bCs/>
                <w:sz w:val="24"/>
                <w:szCs w:val="24"/>
              </w:rPr>
            </w:pPr>
            <w:r w:rsidRPr="005F7F3E">
              <w:rPr>
                <w:rFonts w:ascii="Arial" w:hAnsi="Arial" w:cs="Arial"/>
                <w:bCs/>
                <w:sz w:val="24"/>
                <w:szCs w:val="24"/>
              </w:rPr>
              <w:t>573-526-3636</w:t>
            </w:r>
          </w:p>
        </w:tc>
        <w:tc>
          <w:tcPr>
            <w:tcW w:w="3420" w:type="dxa"/>
          </w:tcPr>
          <w:p w14:paraId="2F4916BD" w14:textId="11E8B698"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E-Mail</w:t>
            </w:r>
          </w:p>
          <w:p w14:paraId="459E789F" w14:textId="45E113AE"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Jennifer.harper@modot.mo.gov</w:t>
            </w:r>
          </w:p>
          <w:p w14:paraId="21FA15AC" w14:textId="77777777" w:rsidR="00535598" w:rsidRPr="005F7F3E" w:rsidRDefault="00535598" w:rsidP="00551D8A">
            <w:pPr>
              <w:ind w:right="-720"/>
              <w:rPr>
                <w:rFonts w:ascii="Arial" w:hAnsi="Arial" w:cs="Arial"/>
                <w:sz w:val="24"/>
                <w:szCs w:val="24"/>
              </w:rPr>
            </w:pPr>
          </w:p>
          <w:p w14:paraId="121E2621" w14:textId="77777777" w:rsidR="004156B2" w:rsidRPr="005F7F3E" w:rsidRDefault="004156B2" w:rsidP="00551D8A">
            <w:pPr>
              <w:ind w:right="-720"/>
              <w:rPr>
                <w:rFonts w:ascii="Arial" w:hAnsi="Arial" w:cs="Arial"/>
                <w:sz w:val="24"/>
                <w:szCs w:val="24"/>
              </w:rPr>
            </w:pPr>
          </w:p>
        </w:tc>
      </w:tr>
      <w:tr w:rsidR="00535598" w:rsidRPr="005F7F3E" w14:paraId="31D9F321" w14:textId="77777777" w:rsidTr="00C13753">
        <w:tc>
          <w:tcPr>
            <w:tcW w:w="4158" w:type="dxa"/>
          </w:tcPr>
          <w:p w14:paraId="1BD524B0"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Lead Agency Project ID:</w:t>
            </w:r>
          </w:p>
          <w:p w14:paraId="63E4F7BB" w14:textId="56A0A418" w:rsidR="00C51BC0" w:rsidRPr="005F7F3E" w:rsidRDefault="00C51BC0" w:rsidP="0003476C">
            <w:pPr>
              <w:ind w:right="-720"/>
              <w:rPr>
                <w:rFonts w:ascii="Arial" w:hAnsi="Arial" w:cs="Arial"/>
                <w:bCs/>
                <w:sz w:val="24"/>
                <w:szCs w:val="24"/>
              </w:rPr>
            </w:pPr>
            <w:r w:rsidRPr="005F7F3E">
              <w:rPr>
                <w:rFonts w:ascii="Arial" w:hAnsi="Arial" w:cs="Arial"/>
                <w:bCs/>
                <w:sz w:val="24"/>
                <w:szCs w:val="24"/>
              </w:rPr>
              <w:t>S090201C</w:t>
            </w:r>
          </w:p>
        </w:tc>
        <w:tc>
          <w:tcPr>
            <w:tcW w:w="3330" w:type="dxa"/>
            <w:gridSpan w:val="2"/>
          </w:tcPr>
          <w:p w14:paraId="5AA3E8F7"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Other Project ID (i.e., contract #):</w:t>
            </w:r>
          </w:p>
          <w:p w14:paraId="6200A09E" w14:textId="5C278B89" w:rsidR="00C51BC0" w:rsidRPr="005F7F3E" w:rsidRDefault="00C51BC0" w:rsidP="0003476C">
            <w:pPr>
              <w:ind w:right="-720"/>
              <w:rPr>
                <w:rFonts w:ascii="Arial" w:hAnsi="Arial" w:cs="Arial"/>
                <w:bCs/>
                <w:sz w:val="24"/>
                <w:szCs w:val="24"/>
              </w:rPr>
            </w:pPr>
            <w:r w:rsidRPr="005F7F3E">
              <w:rPr>
                <w:rFonts w:ascii="Arial" w:hAnsi="Arial" w:cs="Arial"/>
                <w:bCs/>
                <w:sz w:val="24"/>
                <w:szCs w:val="24"/>
              </w:rPr>
              <w:t>TR202501</w:t>
            </w:r>
          </w:p>
        </w:tc>
        <w:tc>
          <w:tcPr>
            <w:tcW w:w="3420" w:type="dxa"/>
          </w:tcPr>
          <w:p w14:paraId="4D1EA583"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Project Start Date:</w:t>
            </w:r>
          </w:p>
          <w:p w14:paraId="2D77E549" w14:textId="6601DDE9" w:rsidR="00C51BC0" w:rsidRPr="005F7F3E" w:rsidRDefault="00C51BC0" w:rsidP="0003476C">
            <w:pPr>
              <w:ind w:right="-720"/>
              <w:rPr>
                <w:rFonts w:ascii="Arial" w:hAnsi="Arial" w:cs="Arial"/>
                <w:bCs/>
                <w:sz w:val="24"/>
                <w:szCs w:val="24"/>
              </w:rPr>
            </w:pPr>
            <w:r w:rsidRPr="005F7F3E">
              <w:rPr>
                <w:rFonts w:ascii="Arial" w:hAnsi="Arial" w:cs="Arial"/>
                <w:bCs/>
                <w:sz w:val="24"/>
                <w:szCs w:val="24"/>
              </w:rPr>
              <w:t>December 1, 2024</w:t>
            </w:r>
          </w:p>
          <w:p w14:paraId="2BC083CF" w14:textId="77777777" w:rsidR="00535598" w:rsidRPr="005F7F3E" w:rsidRDefault="00535598" w:rsidP="0003476C">
            <w:pPr>
              <w:ind w:right="-720"/>
              <w:rPr>
                <w:rFonts w:ascii="Arial" w:hAnsi="Arial" w:cs="Arial"/>
                <w:sz w:val="24"/>
                <w:szCs w:val="24"/>
              </w:rPr>
            </w:pPr>
          </w:p>
          <w:p w14:paraId="138D6149" w14:textId="77777777" w:rsidR="00535598" w:rsidRPr="005F7F3E" w:rsidRDefault="00535598" w:rsidP="0003476C">
            <w:pPr>
              <w:ind w:right="-720"/>
              <w:rPr>
                <w:rFonts w:ascii="Arial" w:hAnsi="Arial" w:cs="Arial"/>
                <w:sz w:val="24"/>
                <w:szCs w:val="24"/>
              </w:rPr>
            </w:pPr>
          </w:p>
        </w:tc>
      </w:tr>
      <w:tr w:rsidR="00B154D7" w:rsidRPr="005F7F3E" w14:paraId="5F8EAA4E" w14:textId="77777777" w:rsidTr="00C13753">
        <w:tc>
          <w:tcPr>
            <w:tcW w:w="4158" w:type="dxa"/>
          </w:tcPr>
          <w:p w14:paraId="0B55C2B2"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Start Date:</w:t>
            </w:r>
          </w:p>
          <w:p w14:paraId="11510904" w14:textId="34D0E79B" w:rsidR="00B3284B" w:rsidRPr="005F7F3E" w:rsidRDefault="00B3284B" w:rsidP="00B154D7">
            <w:pPr>
              <w:ind w:right="-720"/>
              <w:rPr>
                <w:rFonts w:ascii="Arial" w:hAnsi="Arial" w:cs="Arial"/>
                <w:bCs/>
                <w:sz w:val="24"/>
                <w:szCs w:val="24"/>
              </w:rPr>
            </w:pPr>
            <w:r w:rsidRPr="005F7F3E">
              <w:rPr>
                <w:rFonts w:ascii="Arial" w:hAnsi="Arial" w:cs="Arial"/>
                <w:bCs/>
                <w:sz w:val="24"/>
                <w:szCs w:val="24"/>
              </w:rPr>
              <w:t>December 1, 2024</w:t>
            </w:r>
          </w:p>
        </w:tc>
        <w:tc>
          <w:tcPr>
            <w:tcW w:w="3330" w:type="dxa"/>
            <w:gridSpan w:val="2"/>
          </w:tcPr>
          <w:p w14:paraId="5B38032F"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End Date:</w:t>
            </w:r>
          </w:p>
          <w:p w14:paraId="6CD391A0" w14:textId="67C7472A" w:rsidR="00B3284B" w:rsidRPr="005F7F3E" w:rsidRDefault="00B3284B" w:rsidP="00B154D7">
            <w:pPr>
              <w:ind w:right="-720"/>
              <w:rPr>
                <w:rFonts w:ascii="Arial" w:hAnsi="Arial" w:cs="Arial"/>
                <w:bCs/>
                <w:sz w:val="24"/>
                <w:szCs w:val="24"/>
              </w:rPr>
            </w:pPr>
            <w:r w:rsidRPr="005F7F3E">
              <w:rPr>
                <w:rFonts w:ascii="Arial" w:hAnsi="Arial" w:cs="Arial"/>
                <w:bCs/>
                <w:sz w:val="24"/>
                <w:szCs w:val="24"/>
              </w:rPr>
              <w:t>November 30, 2028</w:t>
            </w:r>
          </w:p>
        </w:tc>
        <w:tc>
          <w:tcPr>
            <w:tcW w:w="3420" w:type="dxa"/>
          </w:tcPr>
          <w:p w14:paraId="0B86A9A7" w14:textId="374F3D70" w:rsidR="00B154D7" w:rsidRPr="005F7F3E" w:rsidRDefault="00B154D7" w:rsidP="00B154D7">
            <w:pPr>
              <w:ind w:right="-720"/>
              <w:rPr>
                <w:rFonts w:ascii="Arial" w:hAnsi="Arial" w:cs="Arial"/>
                <w:b/>
                <w:sz w:val="24"/>
                <w:szCs w:val="24"/>
              </w:rPr>
            </w:pPr>
            <w:r w:rsidRPr="005F7F3E">
              <w:rPr>
                <w:rFonts w:ascii="Arial" w:hAnsi="Arial" w:cs="Arial"/>
                <w:b/>
                <w:sz w:val="24"/>
                <w:szCs w:val="24"/>
              </w:rPr>
              <w:t xml:space="preserve">If Extension has been requested, updated project End Date: </w:t>
            </w:r>
          </w:p>
          <w:p w14:paraId="48272F54" w14:textId="77777777" w:rsidR="00B154D7" w:rsidRPr="005F7F3E" w:rsidRDefault="00B154D7" w:rsidP="00B154D7">
            <w:pPr>
              <w:ind w:right="-720"/>
              <w:rPr>
                <w:rFonts w:ascii="Arial" w:hAnsi="Arial" w:cs="Arial"/>
                <w:sz w:val="24"/>
                <w:szCs w:val="24"/>
              </w:rPr>
            </w:pPr>
          </w:p>
          <w:p w14:paraId="224F842E" w14:textId="77777777" w:rsidR="00B154D7" w:rsidRPr="005F7F3E" w:rsidRDefault="00B154D7" w:rsidP="00B154D7">
            <w:pPr>
              <w:ind w:right="-720"/>
              <w:rPr>
                <w:rFonts w:ascii="Arial" w:hAnsi="Arial" w:cs="Arial"/>
                <w:sz w:val="24"/>
                <w:szCs w:val="24"/>
              </w:rPr>
            </w:pPr>
          </w:p>
        </w:tc>
      </w:tr>
    </w:tbl>
    <w:p w14:paraId="7F286B1E" w14:textId="77777777" w:rsidR="00551D8A" w:rsidRPr="005F7F3E" w:rsidRDefault="00551D8A" w:rsidP="00551D8A">
      <w:pPr>
        <w:spacing w:after="0"/>
        <w:ind w:left="-720" w:right="-720"/>
        <w:rPr>
          <w:rFonts w:ascii="Arial" w:hAnsi="Arial" w:cs="Arial"/>
          <w:sz w:val="24"/>
          <w:szCs w:val="24"/>
        </w:rPr>
      </w:pPr>
    </w:p>
    <w:p w14:paraId="4CA2569C"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Project schedule status:</w:t>
      </w:r>
    </w:p>
    <w:p w14:paraId="0AE16A21"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 On schedule</w:t>
      </w:r>
      <w:r w:rsidRPr="005F7F3E">
        <w:rPr>
          <w:rFonts w:ascii="Arial" w:hAnsi="Arial" w:cs="Arial"/>
          <w:sz w:val="24"/>
          <w:szCs w:val="24"/>
        </w:rPr>
        <w:tab/>
        <w:t>□ On revised schedule</w:t>
      </w:r>
      <w:r w:rsidRPr="005F7F3E">
        <w:rPr>
          <w:rFonts w:ascii="Arial" w:hAnsi="Arial" w:cs="Arial"/>
          <w:sz w:val="24"/>
          <w:szCs w:val="24"/>
        </w:rPr>
        <w:tab/>
      </w:r>
      <w:r w:rsidRPr="005F7F3E">
        <w:rPr>
          <w:rFonts w:ascii="Arial" w:hAnsi="Arial" w:cs="Arial"/>
          <w:sz w:val="24"/>
          <w:szCs w:val="24"/>
        </w:rPr>
        <w:tab/>
        <w:t>□ Ahead of schedule</w:t>
      </w:r>
      <w:r w:rsidRPr="005F7F3E">
        <w:rPr>
          <w:rFonts w:ascii="Arial" w:hAnsi="Arial" w:cs="Arial"/>
          <w:sz w:val="24"/>
          <w:szCs w:val="24"/>
        </w:rPr>
        <w:tab/>
      </w:r>
      <w:r w:rsidRPr="005F7F3E">
        <w:rPr>
          <w:rFonts w:ascii="Arial" w:hAnsi="Arial" w:cs="Arial"/>
          <w:sz w:val="24"/>
          <w:szCs w:val="24"/>
        </w:rPr>
        <w:tab/>
        <w:t>□ Behind schedule</w:t>
      </w:r>
    </w:p>
    <w:p w14:paraId="04B12419" w14:textId="77777777" w:rsidR="00743C01" w:rsidRPr="005F7F3E" w:rsidRDefault="00743C01" w:rsidP="00551D8A">
      <w:pPr>
        <w:spacing w:after="0"/>
        <w:ind w:left="-720" w:right="-720"/>
        <w:rPr>
          <w:rFonts w:ascii="Arial" w:hAnsi="Arial" w:cs="Arial"/>
          <w:sz w:val="24"/>
          <w:szCs w:val="24"/>
        </w:rPr>
      </w:pPr>
    </w:p>
    <w:p w14:paraId="1AC277B9" w14:textId="77777777" w:rsidR="00743C01" w:rsidRPr="005F7F3E" w:rsidRDefault="00B66A21" w:rsidP="00B66A21">
      <w:pPr>
        <w:tabs>
          <w:tab w:val="left" w:pos="1230"/>
        </w:tabs>
        <w:spacing w:after="0"/>
        <w:ind w:left="-720" w:right="-720"/>
        <w:rPr>
          <w:rFonts w:ascii="Arial" w:hAnsi="Arial" w:cs="Arial"/>
          <w:sz w:val="24"/>
          <w:szCs w:val="24"/>
        </w:rPr>
      </w:pPr>
      <w:r w:rsidRPr="005F7F3E">
        <w:rPr>
          <w:rFonts w:ascii="Arial" w:hAnsi="Arial" w:cs="Arial"/>
          <w:sz w:val="24"/>
          <w:szCs w:val="24"/>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F7F3E" w14:paraId="435DCBEB" w14:textId="77777777" w:rsidTr="00B66A21">
        <w:tc>
          <w:tcPr>
            <w:tcW w:w="4158" w:type="dxa"/>
            <w:shd w:val="pct15" w:color="auto" w:fill="auto"/>
          </w:tcPr>
          <w:p w14:paraId="3177C73B" w14:textId="77777777" w:rsidR="00874EF7" w:rsidRPr="005F7F3E" w:rsidRDefault="00B2185C" w:rsidP="00743C01">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Total Project Budget</w:t>
            </w:r>
          </w:p>
        </w:tc>
        <w:tc>
          <w:tcPr>
            <w:tcW w:w="3330" w:type="dxa"/>
            <w:shd w:val="pct15" w:color="auto" w:fill="auto"/>
          </w:tcPr>
          <w:p w14:paraId="4D4C4CDF" w14:textId="77777777" w:rsidR="00874EF7" w:rsidRPr="005F7F3E" w:rsidRDefault="00B2185C" w:rsidP="00874EF7">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 xml:space="preserve">Total </w:t>
            </w:r>
            <w:r w:rsidR="00B154D7" w:rsidRPr="005F7F3E">
              <w:rPr>
                <w:rFonts w:ascii="Arial" w:hAnsi="Arial" w:cs="Arial"/>
                <w:b/>
                <w:sz w:val="24"/>
                <w:szCs w:val="24"/>
              </w:rPr>
              <w:t>Funds Expended</w:t>
            </w:r>
          </w:p>
          <w:p w14:paraId="5B22DFCC" w14:textId="09F47000" w:rsidR="00B154D7" w:rsidRPr="005F7F3E" w:rsidRDefault="00B154D7" w:rsidP="00874EF7">
            <w:pPr>
              <w:ind w:right="-720"/>
              <w:rPr>
                <w:rFonts w:ascii="Arial" w:hAnsi="Arial" w:cs="Arial"/>
                <w:b/>
                <w:sz w:val="24"/>
                <w:szCs w:val="24"/>
              </w:rPr>
            </w:pPr>
            <w:r w:rsidRPr="005F7F3E">
              <w:rPr>
                <w:rFonts w:ascii="Arial" w:hAnsi="Arial" w:cs="Arial"/>
                <w:b/>
                <w:sz w:val="24"/>
                <w:szCs w:val="24"/>
              </w:rPr>
              <w:t>This Quarter</w:t>
            </w:r>
          </w:p>
        </w:tc>
        <w:tc>
          <w:tcPr>
            <w:tcW w:w="3420" w:type="dxa"/>
            <w:shd w:val="pct15" w:color="auto" w:fill="auto"/>
          </w:tcPr>
          <w:p w14:paraId="63F08C3E" w14:textId="77777777" w:rsidR="00547EE3"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B66A21" w:rsidRPr="005F7F3E">
              <w:rPr>
                <w:rFonts w:ascii="Arial" w:hAnsi="Arial" w:cs="Arial"/>
                <w:b/>
                <w:sz w:val="24"/>
                <w:szCs w:val="24"/>
              </w:rPr>
              <w:t xml:space="preserve">Percentage of </w:t>
            </w:r>
            <w:r w:rsidR="00874EF7" w:rsidRPr="005F7F3E">
              <w:rPr>
                <w:rFonts w:ascii="Arial" w:hAnsi="Arial" w:cs="Arial"/>
                <w:b/>
                <w:sz w:val="24"/>
                <w:szCs w:val="24"/>
              </w:rPr>
              <w:t>Work</w:t>
            </w:r>
            <w:r w:rsidRPr="005F7F3E">
              <w:rPr>
                <w:rFonts w:ascii="Arial" w:hAnsi="Arial" w:cs="Arial"/>
                <w:b/>
                <w:sz w:val="24"/>
                <w:szCs w:val="24"/>
              </w:rPr>
              <w:t xml:space="preserve"> </w:t>
            </w:r>
          </w:p>
          <w:p w14:paraId="1E411F63" w14:textId="77777777" w:rsidR="00874EF7"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Completed</w:t>
            </w:r>
            <w:r w:rsidRPr="005F7F3E">
              <w:rPr>
                <w:rFonts w:ascii="Arial" w:hAnsi="Arial" w:cs="Arial"/>
                <w:b/>
                <w:sz w:val="24"/>
                <w:szCs w:val="24"/>
              </w:rPr>
              <w:t xml:space="preserve"> to Date</w:t>
            </w:r>
          </w:p>
        </w:tc>
      </w:tr>
      <w:tr w:rsidR="00874EF7" w:rsidRPr="005F7F3E" w14:paraId="4A7F4871" w14:textId="77777777" w:rsidTr="00B66A21">
        <w:tc>
          <w:tcPr>
            <w:tcW w:w="4158" w:type="dxa"/>
          </w:tcPr>
          <w:p w14:paraId="0064BDA2" w14:textId="217BC78C" w:rsidR="00874EF7" w:rsidRPr="005F7F3E" w:rsidRDefault="00ED266E" w:rsidP="00551D8A">
            <w:pPr>
              <w:ind w:right="-720"/>
              <w:rPr>
                <w:rFonts w:ascii="Arial" w:hAnsi="Arial" w:cs="Arial"/>
                <w:sz w:val="24"/>
                <w:szCs w:val="24"/>
              </w:rPr>
            </w:pPr>
            <w:r w:rsidRPr="005F7F3E">
              <w:rPr>
                <w:rFonts w:ascii="Arial" w:hAnsi="Arial" w:cs="Arial"/>
                <w:sz w:val="24"/>
                <w:szCs w:val="24"/>
              </w:rPr>
              <w:t>$1,399,997</w:t>
            </w:r>
          </w:p>
        </w:tc>
        <w:tc>
          <w:tcPr>
            <w:tcW w:w="3330" w:type="dxa"/>
          </w:tcPr>
          <w:p w14:paraId="33CB995D" w14:textId="4CBD1D1B" w:rsidR="00874EF7" w:rsidRPr="005F7F3E" w:rsidRDefault="00B71E68" w:rsidP="00551D8A">
            <w:pPr>
              <w:ind w:right="-720"/>
              <w:rPr>
                <w:rFonts w:ascii="Arial" w:hAnsi="Arial" w:cs="Arial"/>
                <w:sz w:val="24"/>
                <w:szCs w:val="24"/>
              </w:rPr>
            </w:pPr>
            <w:r>
              <w:rPr>
                <w:color w:val="212121"/>
                <w:shd w:val="clear" w:color="auto" w:fill="FFFFFF"/>
              </w:rPr>
              <w:t>$122,174.21</w:t>
            </w:r>
          </w:p>
        </w:tc>
        <w:tc>
          <w:tcPr>
            <w:tcW w:w="3420" w:type="dxa"/>
          </w:tcPr>
          <w:p w14:paraId="0D63D8C2" w14:textId="231C8634" w:rsidR="00874EF7" w:rsidRPr="005F7F3E" w:rsidRDefault="00B71E68" w:rsidP="00551D8A">
            <w:pPr>
              <w:ind w:right="-720"/>
              <w:rPr>
                <w:rFonts w:ascii="Arial" w:hAnsi="Arial" w:cs="Arial"/>
                <w:sz w:val="24"/>
                <w:szCs w:val="24"/>
              </w:rPr>
            </w:pPr>
            <w:r>
              <w:rPr>
                <w:rFonts w:ascii="Arial" w:hAnsi="Arial" w:cs="Arial"/>
                <w:sz w:val="24"/>
                <w:szCs w:val="24"/>
              </w:rPr>
              <w:t>10%</w:t>
            </w:r>
          </w:p>
        </w:tc>
      </w:tr>
    </w:tbl>
    <w:p w14:paraId="100AF936" w14:textId="77777777" w:rsidR="00743C01" w:rsidRPr="005F7F3E" w:rsidRDefault="00743C01" w:rsidP="00551D8A">
      <w:pPr>
        <w:spacing w:after="0"/>
        <w:ind w:left="-720" w:right="-720"/>
        <w:rPr>
          <w:rFonts w:ascii="Arial" w:hAnsi="Arial" w:cs="Arial"/>
          <w:sz w:val="24"/>
          <w:szCs w:val="24"/>
        </w:rPr>
      </w:pPr>
    </w:p>
    <w:p w14:paraId="3AB7E4CF" w14:textId="01795CD0" w:rsidR="00037FBC" w:rsidRPr="005F7F3E" w:rsidRDefault="00037FBC">
      <w:pPr>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12361248" w14:textId="77777777" w:rsidTr="00601EBD">
        <w:tc>
          <w:tcPr>
            <w:tcW w:w="10908" w:type="dxa"/>
          </w:tcPr>
          <w:p w14:paraId="3BD1B297" w14:textId="77777777" w:rsidR="00E35E0F" w:rsidRPr="005F7F3E" w:rsidRDefault="00E35E0F" w:rsidP="00551D8A">
            <w:pPr>
              <w:ind w:right="-720"/>
              <w:rPr>
                <w:rFonts w:ascii="Arial" w:hAnsi="Arial" w:cs="Arial"/>
                <w:b/>
                <w:sz w:val="24"/>
                <w:szCs w:val="24"/>
              </w:rPr>
            </w:pPr>
          </w:p>
          <w:p w14:paraId="76BD191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Project Description</w:t>
            </w:r>
            <w:r w:rsidRPr="005F7F3E">
              <w:rPr>
                <w:rFonts w:ascii="Arial" w:hAnsi="Arial" w:cs="Arial"/>
                <w:sz w:val="24"/>
                <w:szCs w:val="24"/>
              </w:rPr>
              <w:t>:</w:t>
            </w:r>
          </w:p>
          <w:p w14:paraId="491ADF78" w14:textId="77777777" w:rsidR="00E50418" w:rsidRPr="005F7F3E" w:rsidRDefault="00E50418" w:rsidP="00E50418">
            <w:pPr>
              <w:pStyle w:val="NormalWeb"/>
              <w:rPr>
                <w:rFonts w:ascii="Arial" w:hAnsi="Arial" w:cs="Arial"/>
              </w:rPr>
            </w:pPr>
            <w:r w:rsidRPr="005F7F3E">
              <w:rPr>
                <w:rFonts w:ascii="Arial" w:hAnsi="Arial" w:cs="Arial"/>
              </w:rPr>
              <w:lastRenderedPageBreak/>
              <w:t>This pooled fund study aims to establish a collaborative data exchange framework between Original Equipment Manufacturers (OEMs) and Departments of Transportation (DOTs). OEMs collect and store vast amounts of connected vehicle data, which can provide valuable insights for transportation agencies in assessing safety, mobility, and infrastructure performance. Conversely, DOTs are the custodians of critical infrastructure and possess data, such as construction schedules and signal timing information, that could enable OEMs to enhance connected vehicle systems and develop innovative solutions.</w:t>
            </w:r>
          </w:p>
          <w:p w14:paraId="3092FE64" w14:textId="69D100CC" w:rsidR="00601EBD" w:rsidRPr="005F7F3E" w:rsidRDefault="00E50418" w:rsidP="00894CA0">
            <w:pPr>
              <w:pStyle w:val="NormalWeb"/>
              <w:rPr>
                <w:rFonts w:ascii="Arial" w:hAnsi="Arial" w:cs="Arial"/>
              </w:rPr>
            </w:pPr>
            <w:r w:rsidRPr="005F7F3E">
              <w:rPr>
                <w:rFonts w:ascii="Arial" w:hAnsi="Arial" w:cs="Arial"/>
              </w:rPr>
              <w:t>By fostering a partnership between OEMs and DOTs, this study seeks to develop a secure, scalable, and mutually beneficial data-sharing ecosystem. This collaboration will support the creation of tools and analytics that improve roadway safety, enhance mobility, and optimize infrastructure management, while also enabling OEMs to design solutions that align with transportation agency priorities. The pooled fund will focus on defining data standards, establishing governance structures, and developing the technological foundation needed to facilitate seamless data integration and exchange.</w:t>
            </w:r>
          </w:p>
        </w:tc>
      </w:tr>
    </w:tbl>
    <w:p w14:paraId="3F68005D" w14:textId="77777777" w:rsidR="00037FBC" w:rsidRPr="005F7F3E" w:rsidRDefault="00037FBC" w:rsidP="00551D8A">
      <w:pPr>
        <w:spacing w:after="0"/>
        <w:ind w:left="-720" w:right="-720"/>
        <w:rPr>
          <w:rFonts w:ascii="Arial" w:hAnsi="Arial" w:cs="Arial"/>
          <w:sz w:val="24"/>
          <w:szCs w:val="24"/>
        </w:rPr>
      </w:pPr>
    </w:p>
    <w:p w14:paraId="13E2D012"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5AA88EF1" w14:textId="77777777" w:rsidTr="00601EBD">
        <w:tc>
          <w:tcPr>
            <w:tcW w:w="10908" w:type="dxa"/>
          </w:tcPr>
          <w:p w14:paraId="7F5505AC" w14:textId="77777777" w:rsidR="00E35E0F" w:rsidRPr="005F7F3E" w:rsidRDefault="00E35E0F" w:rsidP="00551D8A">
            <w:pPr>
              <w:ind w:right="-720"/>
              <w:rPr>
                <w:rFonts w:ascii="Arial" w:hAnsi="Arial" w:cs="Arial"/>
                <w:b/>
                <w:sz w:val="24"/>
                <w:szCs w:val="24"/>
              </w:rPr>
            </w:pPr>
          </w:p>
          <w:p w14:paraId="7BC78E18"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Progress this Quarter (includes meetings, work plan status, contract status, significant progress, etc.):</w:t>
            </w:r>
          </w:p>
          <w:p w14:paraId="0CD446F1" w14:textId="77777777" w:rsidR="00894CA0" w:rsidRPr="005F7F3E" w:rsidRDefault="00894CA0" w:rsidP="00551D8A">
            <w:pPr>
              <w:ind w:right="-720"/>
              <w:rPr>
                <w:rFonts w:ascii="Arial" w:hAnsi="Arial" w:cs="Arial"/>
                <w:b/>
                <w:sz w:val="24"/>
                <w:szCs w:val="24"/>
              </w:rPr>
            </w:pPr>
          </w:p>
          <w:p w14:paraId="13F61454" w14:textId="77777777" w:rsidR="00B71E68" w:rsidRDefault="00B71E68" w:rsidP="00B71E68">
            <w:pPr>
              <w:pStyle w:val="NormalWeb"/>
            </w:pPr>
            <w:r>
              <w:t>This quarter, we have made substantial progress toward the goals of the pooled fund study, particularly in expanding OEM engagement and advancing our data-sharing objectives. Two key meetings were held to shape the engagement strategy and finalize data priorities, and we made notable progress in recruiting new OEM participants.</w:t>
            </w:r>
          </w:p>
          <w:p w14:paraId="62769D33" w14:textId="77777777" w:rsidR="00B71E68" w:rsidRDefault="00B71E68" w:rsidP="00B71E68">
            <w:pPr>
              <w:pStyle w:val="NormalWeb"/>
            </w:pPr>
            <w:r>
              <w:t xml:space="preserve">• </w:t>
            </w:r>
            <w:r>
              <w:rPr>
                <w:rStyle w:val="Strong"/>
              </w:rPr>
              <w:t>Pooled Fund Member Meeting (June 6):</w:t>
            </w:r>
            <w:r>
              <w:t xml:space="preserve"> During this meeting, members deliberated on strategies for engaging with OEMs and prioritized the types of data most valuable to DOT operations. The team reached consensus on focusing initially on proactive safety data as a foundational use case for OEM collaboration.</w:t>
            </w:r>
          </w:p>
          <w:p w14:paraId="7B79A0B0" w14:textId="77777777" w:rsidR="00B71E68" w:rsidRDefault="00B71E68" w:rsidP="00B71E68">
            <w:pPr>
              <w:pStyle w:val="NormalWeb"/>
            </w:pPr>
            <w:r>
              <w:t xml:space="preserve">• </w:t>
            </w:r>
            <w:r>
              <w:rPr>
                <w:rStyle w:val="Strong"/>
              </w:rPr>
              <w:t>OEM Engagement – Stellantis and NIRA Dynamics (Ongoing):</w:t>
            </w:r>
            <w:r>
              <w:t xml:space="preserve"> Following targeted outreach efforts, we successfully engaged Stellantis and NIRA Dynamics in discussions about joining the pooled fund. Both parties have agreed to share data, marking a significant achievement for the study. An in-person meeting with Stellantis is scheduled to take place at the ITS World Congress to finalize the terms of engagement and next steps. Additionally, we are working with NIRA Dynamics to establish a formal data sharing agreement that will enable the secure transfer of their data to the pooled fund platform.</w:t>
            </w:r>
          </w:p>
          <w:p w14:paraId="37EB5855" w14:textId="32474F4E" w:rsidR="005F7F3E" w:rsidRPr="005F7F3E" w:rsidRDefault="005F7F3E" w:rsidP="00B71E68">
            <w:pPr>
              <w:spacing w:before="100" w:beforeAutospacing="1" w:after="100" w:afterAutospacing="1"/>
              <w:rPr>
                <w:rFonts w:ascii="Arial" w:hAnsi="Arial" w:cs="Arial"/>
              </w:rPr>
            </w:pPr>
          </w:p>
        </w:tc>
      </w:tr>
      <w:tr w:rsidR="00601EBD" w:rsidRPr="005F7F3E" w14:paraId="7B3FD6B1" w14:textId="77777777" w:rsidTr="00601EBD">
        <w:tc>
          <w:tcPr>
            <w:tcW w:w="10903" w:type="dxa"/>
          </w:tcPr>
          <w:p w14:paraId="0F809A22" w14:textId="77777777" w:rsidR="00E35E0F" w:rsidRPr="005F7F3E" w:rsidRDefault="00E35E0F" w:rsidP="00551D8A">
            <w:pPr>
              <w:ind w:right="-720"/>
              <w:rPr>
                <w:rFonts w:ascii="Arial" w:hAnsi="Arial" w:cs="Arial"/>
                <w:b/>
                <w:sz w:val="24"/>
                <w:szCs w:val="24"/>
              </w:rPr>
            </w:pPr>
          </w:p>
          <w:p w14:paraId="53A5B10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Anticipated work next quarter</w:t>
            </w:r>
            <w:r w:rsidRPr="005F7F3E">
              <w:rPr>
                <w:rFonts w:ascii="Arial" w:hAnsi="Arial" w:cs="Arial"/>
                <w:sz w:val="24"/>
                <w:szCs w:val="24"/>
              </w:rPr>
              <w:t>:</w:t>
            </w:r>
          </w:p>
          <w:p w14:paraId="464AC0BB" w14:textId="77777777" w:rsidR="00C07B29" w:rsidRPr="005F7F3E" w:rsidRDefault="00C07B29" w:rsidP="00551D8A">
            <w:pPr>
              <w:ind w:right="-720"/>
              <w:rPr>
                <w:rFonts w:ascii="Arial" w:hAnsi="Arial" w:cs="Arial"/>
                <w:sz w:val="24"/>
                <w:szCs w:val="24"/>
              </w:rPr>
            </w:pPr>
          </w:p>
          <w:p w14:paraId="7776D90D" w14:textId="77777777" w:rsidR="00C050B1" w:rsidRPr="00C050B1" w:rsidRDefault="00C050B1" w:rsidP="00C050B1">
            <w:pPr>
              <w:pStyle w:val="NormalWeb"/>
              <w:rPr>
                <w:b/>
                <w:bCs/>
              </w:rPr>
            </w:pPr>
            <w:r w:rsidRPr="00C050B1">
              <w:rPr>
                <w:rStyle w:val="Strong"/>
                <w:b w:val="0"/>
                <w:bCs w:val="0"/>
              </w:rPr>
              <w:t>In the upcoming quarter, we plan to build on recent momentum by advancing OEM engagement and beginning initial data exploration. Our primary activities will include:</w:t>
            </w:r>
          </w:p>
          <w:p w14:paraId="2571ACA7" w14:textId="77777777" w:rsidR="00C050B1" w:rsidRDefault="00C050B1" w:rsidP="00C050B1">
            <w:pPr>
              <w:pStyle w:val="NormalWeb"/>
            </w:pPr>
            <w:r>
              <w:lastRenderedPageBreak/>
              <w:t xml:space="preserve">• </w:t>
            </w:r>
            <w:r>
              <w:rPr>
                <w:rStyle w:val="Strong"/>
              </w:rPr>
              <w:t>Finalizing Data Sharing Agreements:</w:t>
            </w:r>
            <w:r>
              <w:t xml:space="preserve"> We will work closely with NIRA Dynamics to complete a formal data sharing agreement and continue discussions with Stellantis to solidify the terms of engagement established during our upcoming in-person meeting at the ITS World Congress.</w:t>
            </w:r>
          </w:p>
          <w:p w14:paraId="14F94FEC" w14:textId="77777777" w:rsidR="00C050B1" w:rsidRDefault="00C050B1" w:rsidP="00C050B1">
            <w:pPr>
              <w:pStyle w:val="NormalWeb"/>
            </w:pPr>
            <w:r>
              <w:t xml:space="preserve">• </w:t>
            </w:r>
            <w:r>
              <w:rPr>
                <w:rStyle w:val="Strong"/>
              </w:rPr>
              <w:t>Recruiting an Additional OEM:</w:t>
            </w:r>
            <w:r>
              <w:t xml:space="preserve"> Efforts will be made to identify and engage at least one more OEM partner to broaden the scope and diversity of data available to the pooled fund.</w:t>
            </w:r>
          </w:p>
          <w:p w14:paraId="22A6FCE0" w14:textId="539522AF" w:rsidR="00601EBD" w:rsidRPr="00C050B1" w:rsidRDefault="00C050B1" w:rsidP="00C07B29">
            <w:pPr>
              <w:pStyle w:val="NormalWeb"/>
            </w:pPr>
            <w:r>
              <w:t xml:space="preserve">• </w:t>
            </w:r>
            <w:r>
              <w:rPr>
                <w:rStyle w:val="Strong"/>
              </w:rPr>
              <w:t>Initiating Data Exploration:</w:t>
            </w:r>
            <w:r>
              <w:t xml:space="preserve"> With data access expected to begin, we will start exploring the datasets shared by OEMs to assess structure, quality, and relevance to our identified priority—proactive safety applications.</w:t>
            </w:r>
          </w:p>
        </w:tc>
      </w:tr>
    </w:tbl>
    <w:p w14:paraId="5B1C42C7"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2CC9C2C2" w14:textId="77777777" w:rsidTr="00601EBD">
        <w:tc>
          <w:tcPr>
            <w:tcW w:w="10908" w:type="dxa"/>
          </w:tcPr>
          <w:p w14:paraId="663ABD82" w14:textId="77777777" w:rsidR="00E35E0F" w:rsidRPr="005F7F3E" w:rsidRDefault="00E35E0F" w:rsidP="00551D8A">
            <w:pPr>
              <w:ind w:right="-720"/>
              <w:rPr>
                <w:rFonts w:ascii="Arial" w:hAnsi="Arial" w:cs="Arial"/>
                <w:b/>
                <w:sz w:val="24"/>
                <w:szCs w:val="24"/>
              </w:rPr>
            </w:pPr>
          </w:p>
          <w:p w14:paraId="76850FAC"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Significant Results:</w:t>
            </w:r>
          </w:p>
          <w:p w14:paraId="15A64680" w14:textId="77777777" w:rsidR="00C050B1" w:rsidRPr="00C050B1" w:rsidRDefault="00C050B1" w:rsidP="00C050B1">
            <w:pPr>
              <w:pStyle w:val="NormalWeb"/>
              <w:rPr>
                <w:b/>
                <w:bCs/>
              </w:rPr>
            </w:pPr>
            <w:r w:rsidRPr="00C050B1">
              <w:rPr>
                <w:rStyle w:val="Strong"/>
                <w:b w:val="0"/>
                <w:bCs w:val="0"/>
              </w:rPr>
              <w:t>This quarter, the pooled fund study achieved key milestones that advanced our OEM engagement efforts and solidified our data-sharing strategy:</w:t>
            </w:r>
          </w:p>
          <w:p w14:paraId="26EB6B40" w14:textId="77777777" w:rsidR="00C050B1" w:rsidRDefault="00C050B1" w:rsidP="00C050B1">
            <w:pPr>
              <w:pStyle w:val="NormalWeb"/>
              <w:numPr>
                <w:ilvl w:val="0"/>
                <w:numId w:val="4"/>
              </w:numPr>
            </w:pPr>
            <w:r>
              <w:rPr>
                <w:rStyle w:val="Strong"/>
              </w:rPr>
              <w:t>OEM Engagement Expanded:</w:t>
            </w:r>
            <w:r>
              <w:t xml:space="preserve"> We successfully initiated collaboration with Stellantis and NIRA Dynamics. Both organizations agreed to share data with the pooled fund, marking a major step forward in building a robust data-sharing network between DOTs and OEMs.</w:t>
            </w:r>
          </w:p>
          <w:p w14:paraId="307E4C6B" w14:textId="77777777" w:rsidR="00C050B1" w:rsidRDefault="00C050B1" w:rsidP="00C050B1">
            <w:pPr>
              <w:pStyle w:val="NormalWeb"/>
              <w:numPr>
                <w:ilvl w:val="0"/>
                <w:numId w:val="4"/>
              </w:numPr>
            </w:pPr>
            <w:r>
              <w:rPr>
                <w:rStyle w:val="Strong"/>
              </w:rPr>
              <w:t>In-Person OEM Meeting Scheduled:</w:t>
            </w:r>
            <w:r>
              <w:t xml:space="preserve"> A strategic in-person meeting with Stellantis has been scheduled for the upcoming ITS World Congress, where we aim to finalize the terms of engagement and define next steps for data integration.</w:t>
            </w:r>
          </w:p>
          <w:p w14:paraId="78467A5C" w14:textId="77777777" w:rsidR="00C050B1" w:rsidRDefault="00C050B1" w:rsidP="00C050B1">
            <w:pPr>
              <w:pStyle w:val="NormalWeb"/>
              <w:numPr>
                <w:ilvl w:val="0"/>
                <w:numId w:val="4"/>
              </w:numPr>
            </w:pPr>
            <w:r>
              <w:rPr>
                <w:rStyle w:val="Strong"/>
              </w:rPr>
              <w:t>Data Sharing Agreement Underway:</w:t>
            </w:r>
            <w:r>
              <w:t xml:space="preserve"> We are actively developing a data sharing agreement with NIRA Dynamics to formalize their participation and enable secure data exchange.</w:t>
            </w:r>
          </w:p>
          <w:p w14:paraId="42D1254A" w14:textId="77777777" w:rsidR="00C050B1" w:rsidRDefault="00C050B1" w:rsidP="00C050B1">
            <w:pPr>
              <w:pStyle w:val="NormalWeb"/>
              <w:numPr>
                <w:ilvl w:val="0"/>
                <w:numId w:val="4"/>
              </w:numPr>
            </w:pPr>
            <w:r>
              <w:rPr>
                <w:rStyle w:val="Strong"/>
              </w:rPr>
              <w:t>Project Focus Defined:</w:t>
            </w:r>
            <w:r>
              <w:t xml:space="preserve"> In the June 6 member meeting, pooled fund participants prioritized proactive safety data as the initial focus area, ensuring that our OEM engagements align with high-impact DOT objectives.</w:t>
            </w:r>
          </w:p>
          <w:p w14:paraId="0A4C50F0" w14:textId="77777777" w:rsidR="00601EBD" w:rsidRPr="005F7F3E" w:rsidRDefault="00601EBD" w:rsidP="00C050B1">
            <w:pPr>
              <w:pStyle w:val="NormalWeb"/>
              <w:rPr>
                <w:rFonts w:ascii="Arial" w:hAnsi="Arial" w:cs="Arial"/>
                <w:b/>
              </w:rPr>
            </w:pPr>
          </w:p>
        </w:tc>
      </w:tr>
      <w:tr w:rsidR="00601EBD" w:rsidRPr="005F7F3E" w14:paraId="5F17B6F7" w14:textId="77777777" w:rsidTr="00601EBD">
        <w:tc>
          <w:tcPr>
            <w:tcW w:w="10908" w:type="dxa"/>
          </w:tcPr>
          <w:p w14:paraId="53414F76" w14:textId="77777777" w:rsidR="00E35E0F" w:rsidRPr="005F7F3E" w:rsidRDefault="00E35E0F" w:rsidP="00551D8A">
            <w:pPr>
              <w:ind w:right="-720"/>
              <w:rPr>
                <w:rFonts w:ascii="Arial" w:hAnsi="Arial" w:cs="Arial"/>
                <w:b/>
                <w:sz w:val="24"/>
                <w:szCs w:val="24"/>
              </w:rPr>
            </w:pPr>
          </w:p>
          <w:p w14:paraId="0B924A8C"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 xml:space="preserve">Circumstance affecting project or budget.  (Please describe any challenges encountered or anticipated that </w:t>
            </w:r>
          </w:p>
          <w:p w14:paraId="064286D3"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might affect the completion of the project within the tim</w:t>
            </w:r>
            <w:r w:rsidR="00E35E0F" w:rsidRPr="005F7F3E">
              <w:rPr>
                <w:rFonts w:ascii="Arial" w:hAnsi="Arial" w:cs="Arial"/>
                <w:b/>
                <w:sz w:val="24"/>
                <w:szCs w:val="24"/>
              </w:rPr>
              <w:t xml:space="preserve">e, scope and fiscal constraints </w:t>
            </w:r>
            <w:r w:rsidRPr="005F7F3E">
              <w:rPr>
                <w:rFonts w:ascii="Arial" w:hAnsi="Arial" w:cs="Arial"/>
                <w:b/>
                <w:sz w:val="24"/>
                <w:szCs w:val="24"/>
              </w:rPr>
              <w:t xml:space="preserve">set forth in the </w:t>
            </w:r>
          </w:p>
          <w:p w14:paraId="413AF557"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agreement, along with recommended solutions to those problems).</w:t>
            </w:r>
          </w:p>
          <w:p w14:paraId="1972D520" w14:textId="77777777" w:rsidR="00C07B29" w:rsidRPr="005F7F3E" w:rsidRDefault="00C07B29" w:rsidP="00551D8A">
            <w:pPr>
              <w:ind w:right="-720"/>
              <w:rPr>
                <w:rFonts w:ascii="Arial" w:hAnsi="Arial" w:cs="Arial"/>
                <w:b/>
                <w:sz w:val="24"/>
                <w:szCs w:val="24"/>
              </w:rPr>
            </w:pPr>
          </w:p>
          <w:p w14:paraId="4626F1D1" w14:textId="23E1F427" w:rsidR="00601EBD" w:rsidRPr="005F7F3E" w:rsidRDefault="00C050B1" w:rsidP="00C050B1">
            <w:pPr>
              <w:ind w:right="-720"/>
              <w:rPr>
                <w:rFonts w:ascii="Arial" w:hAnsi="Arial" w:cs="Arial"/>
                <w:b/>
                <w:sz w:val="24"/>
                <w:szCs w:val="24"/>
              </w:rPr>
            </w:pPr>
            <w:r>
              <w:rPr>
                <w:rFonts w:ascii="Arial" w:eastAsia="Times New Roman" w:hAnsi="Arial" w:cs="Arial"/>
                <w:sz w:val="24"/>
                <w:szCs w:val="24"/>
              </w:rPr>
              <w:t>N/A</w:t>
            </w:r>
          </w:p>
        </w:tc>
      </w:tr>
    </w:tbl>
    <w:p w14:paraId="2BD30BFB"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E35E0F" w:rsidRPr="005F7F3E" w14:paraId="5C2CD4E5" w14:textId="77777777" w:rsidTr="00E35E0F">
        <w:tc>
          <w:tcPr>
            <w:tcW w:w="10908" w:type="dxa"/>
          </w:tcPr>
          <w:p w14:paraId="5A7F6563" w14:textId="77777777" w:rsidR="00E35E0F" w:rsidRPr="005F7F3E" w:rsidRDefault="00E35E0F" w:rsidP="00551D8A">
            <w:pPr>
              <w:ind w:right="-720"/>
              <w:rPr>
                <w:rFonts w:ascii="Arial" w:hAnsi="Arial" w:cs="Arial"/>
                <w:sz w:val="24"/>
                <w:szCs w:val="24"/>
              </w:rPr>
            </w:pPr>
          </w:p>
          <w:p w14:paraId="6461728F" w14:textId="77777777" w:rsidR="00E35E0F" w:rsidRPr="005F7F3E" w:rsidRDefault="00E35E0F" w:rsidP="00551D8A">
            <w:pPr>
              <w:ind w:right="-720"/>
              <w:rPr>
                <w:rFonts w:ascii="Arial" w:hAnsi="Arial" w:cs="Arial"/>
                <w:sz w:val="24"/>
                <w:szCs w:val="24"/>
              </w:rPr>
            </w:pPr>
            <w:r w:rsidRPr="005F7F3E">
              <w:rPr>
                <w:rFonts w:ascii="Arial" w:hAnsi="Arial" w:cs="Arial"/>
                <w:b/>
                <w:sz w:val="24"/>
                <w:szCs w:val="24"/>
              </w:rPr>
              <w:t>Potential Implementation</w:t>
            </w:r>
            <w:r w:rsidR="00547EE3" w:rsidRPr="005F7F3E">
              <w:rPr>
                <w:rFonts w:ascii="Arial" w:hAnsi="Arial" w:cs="Arial"/>
                <w:b/>
                <w:sz w:val="24"/>
                <w:szCs w:val="24"/>
              </w:rPr>
              <w:t>:</w:t>
            </w:r>
            <w:r w:rsidRPr="005F7F3E">
              <w:rPr>
                <w:rFonts w:ascii="Arial" w:hAnsi="Arial" w:cs="Arial"/>
                <w:sz w:val="24"/>
                <w:szCs w:val="24"/>
              </w:rPr>
              <w:t xml:space="preserve">  </w:t>
            </w:r>
          </w:p>
          <w:p w14:paraId="0974D1DC" w14:textId="77777777" w:rsidR="00547EE3" w:rsidRPr="005F7F3E" w:rsidRDefault="00547EE3" w:rsidP="00551D8A">
            <w:pPr>
              <w:ind w:right="-720"/>
              <w:rPr>
                <w:rFonts w:ascii="Arial" w:hAnsi="Arial" w:cs="Arial"/>
                <w:sz w:val="24"/>
                <w:szCs w:val="24"/>
              </w:rPr>
            </w:pPr>
          </w:p>
          <w:p w14:paraId="61A3ACB4" w14:textId="77777777" w:rsidR="00E35E0F" w:rsidRPr="005F7F3E" w:rsidRDefault="00E35E0F" w:rsidP="00551D8A">
            <w:pPr>
              <w:ind w:right="-720"/>
              <w:rPr>
                <w:rFonts w:ascii="Arial" w:hAnsi="Arial" w:cs="Arial"/>
                <w:sz w:val="24"/>
                <w:szCs w:val="24"/>
              </w:rPr>
            </w:pPr>
          </w:p>
          <w:p w14:paraId="5F254FAD" w14:textId="77777777" w:rsidR="00E35E0F" w:rsidRPr="005F7F3E" w:rsidRDefault="00E35E0F" w:rsidP="00551D8A">
            <w:pPr>
              <w:ind w:right="-720"/>
              <w:rPr>
                <w:rFonts w:ascii="Arial" w:hAnsi="Arial" w:cs="Arial"/>
                <w:sz w:val="24"/>
                <w:szCs w:val="24"/>
              </w:rPr>
            </w:pPr>
          </w:p>
          <w:p w14:paraId="356E9B55" w14:textId="7DF08654" w:rsidR="00E35E0F" w:rsidRPr="005F7F3E" w:rsidRDefault="00C07B29" w:rsidP="00551D8A">
            <w:pPr>
              <w:ind w:right="-720"/>
              <w:rPr>
                <w:rFonts w:ascii="Arial" w:hAnsi="Arial" w:cs="Arial"/>
                <w:sz w:val="24"/>
                <w:szCs w:val="24"/>
              </w:rPr>
            </w:pPr>
            <w:r w:rsidRPr="005F7F3E">
              <w:rPr>
                <w:rFonts w:ascii="Arial" w:hAnsi="Arial" w:cs="Arial"/>
                <w:sz w:val="24"/>
                <w:szCs w:val="24"/>
              </w:rPr>
              <w:t>N/A</w:t>
            </w:r>
          </w:p>
          <w:p w14:paraId="6F49CC8A" w14:textId="77777777" w:rsidR="00E35E0F" w:rsidRPr="005F7F3E" w:rsidRDefault="00E35E0F" w:rsidP="00551D8A">
            <w:pPr>
              <w:ind w:right="-720"/>
              <w:rPr>
                <w:rFonts w:ascii="Arial" w:hAnsi="Arial" w:cs="Arial"/>
                <w:sz w:val="24"/>
                <w:szCs w:val="24"/>
              </w:rPr>
            </w:pPr>
          </w:p>
          <w:p w14:paraId="7D38C0F7" w14:textId="77777777" w:rsidR="00E35E0F" w:rsidRPr="005F7F3E" w:rsidRDefault="00E35E0F" w:rsidP="00551D8A">
            <w:pPr>
              <w:ind w:right="-720"/>
              <w:rPr>
                <w:rFonts w:ascii="Arial" w:hAnsi="Arial" w:cs="Arial"/>
                <w:sz w:val="24"/>
                <w:szCs w:val="24"/>
              </w:rPr>
            </w:pPr>
          </w:p>
          <w:p w14:paraId="054FC73C" w14:textId="77777777" w:rsidR="00E35E0F" w:rsidRPr="005F7F3E" w:rsidRDefault="00E35E0F" w:rsidP="00551D8A">
            <w:pPr>
              <w:ind w:right="-720"/>
              <w:rPr>
                <w:rFonts w:ascii="Arial" w:hAnsi="Arial" w:cs="Arial"/>
                <w:sz w:val="24"/>
                <w:szCs w:val="24"/>
              </w:rPr>
            </w:pPr>
          </w:p>
          <w:p w14:paraId="609AF3E1" w14:textId="77777777" w:rsidR="00E35E0F" w:rsidRPr="005F7F3E" w:rsidRDefault="00E35E0F" w:rsidP="00551D8A">
            <w:pPr>
              <w:ind w:right="-720"/>
              <w:rPr>
                <w:rFonts w:ascii="Arial" w:hAnsi="Arial" w:cs="Arial"/>
                <w:sz w:val="24"/>
                <w:szCs w:val="24"/>
              </w:rPr>
            </w:pPr>
          </w:p>
          <w:p w14:paraId="338AE996" w14:textId="77777777" w:rsidR="00E35E0F" w:rsidRPr="005F7F3E" w:rsidRDefault="00E35E0F" w:rsidP="00551D8A">
            <w:pPr>
              <w:ind w:right="-720"/>
              <w:rPr>
                <w:rFonts w:ascii="Arial" w:hAnsi="Arial" w:cs="Arial"/>
                <w:sz w:val="24"/>
                <w:szCs w:val="24"/>
              </w:rPr>
            </w:pPr>
          </w:p>
          <w:p w14:paraId="732FFA14" w14:textId="77777777" w:rsidR="00E35E0F" w:rsidRPr="005F7F3E" w:rsidRDefault="00E35E0F" w:rsidP="00551D8A">
            <w:pPr>
              <w:ind w:right="-720"/>
              <w:rPr>
                <w:rFonts w:ascii="Arial" w:hAnsi="Arial" w:cs="Arial"/>
                <w:sz w:val="24"/>
                <w:szCs w:val="24"/>
              </w:rPr>
            </w:pPr>
          </w:p>
          <w:p w14:paraId="1299C243" w14:textId="77777777" w:rsidR="00E35E0F" w:rsidRPr="005F7F3E" w:rsidRDefault="00E35E0F" w:rsidP="00551D8A">
            <w:pPr>
              <w:ind w:right="-720"/>
              <w:rPr>
                <w:rFonts w:ascii="Arial" w:hAnsi="Arial" w:cs="Arial"/>
                <w:sz w:val="24"/>
                <w:szCs w:val="24"/>
              </w:rPr>
            </w:pPr>
          </w:p>
          <w:p w14:paraId="2FBE3485" w14:textId="77777777" w:rsidR="00E35E0F" w:rsidRPr="005F7F3E" w:rsidRDefault="00E35E0F" w:rsidP="00551D8A">
            <w:pPr>
              <w:ind w:right="-720"/>
              <w:rPr>
                <w:rFonts w:ascii="Arial" w:hAnsi="Arial" w:cs="Arial"/>
                <w:sz w:val="24"/>
                <w:szCs w:val="24"/>
              </w:rPr>
            </w:pPr>
          </w:p>
          <w:p w14:paraId="2EF1A44A" w14:textId="77777777" w:rsidR="00E35E0F" w:rsidRPr="005F7F3E" w:rsidRDefault="00E35E0F" w:rsidP="00551D8A">
            <w:pPr>
              <w:ind w:right="-720"/>
              <w:rPr>
                <w:rFonts w:ascii="Arial" w:hAnsi="Arial" w:cs="Arial"/>
                <w:sz w:val="24"/>
                <w:szCs w:val="24"/>
              </w:rPr>
            </w:pPr>
          </w:p>
          <w:p w14:paraId="073879C9" w14:textId="77777777" w:rsidR="00E35E0F" w:rsidRPr="005F7F3E" w:rsidRDefault="00E35E0F" w:rsidP="00551D8A">
            <w:pPr>
              <w:ind w:right="-720"/>
              <w:rPr>
                <w:rFonts w:ascii="Arial" w:hAnsi="Arial" w:cs="Arial"/>
                <w:sz w:val="24"/>
                <w:szCs w:val="24"/>
              </w:rPr>
            </w:pPr>
          </w:p>
          <w:p w14:paraId="1CA4D1C3" w14:textId="77777777" w:rsidR="00E35E0F" w:rsidRPr="005F7F3E" w:rsidRDefault="00E35E0F" w:rsidP="00551D8A">
            <w:pPr>
              <w:ind w:right="-720"/>
              <w:rPr>
                <w:rFonts w:ascii="Arial" w:hAnsi="Arial" w:cs="Arial"/>
                <w:sz w:val="24"/>
                <w:szCs w:val="24"/>
              </w:rPr>
            </w:pPr>
          </w:p>
          <w:p w14:paraId="7A0FF316" w14:textId="77777777" w:rsidR="00E35E0F" w:rsidRPr="005F7F3E" w:rsidRDefault="00E35E0F" w:rsidP="00551D8A">
            <w:pPr>
              <w:ind w:right="-720"/>
              <w:rPr>
                <w:rFonts w:ascii="Arial" w:hAnsi="Arial" w:cs="Arial"/>
                <w:sz w:val="24"/>
                <w:szCs w:val="24"/>
              </w:rPr>
            </w:pPr>
          </w:p>
          <w:p w14:paraId="50ED9D9C" w14:textId="77777777" w:rsidR="00E35E0F" w:rsidRPr="005F7F3E" w:rsidRDefault="00E35E0F" w:rsidP="00551D8A">
            <w:pPr>
              <w:ind w:right="-720"/>
              <w:rPr>
                <w:rFonts w:ascii="Arial" w:hAnsi="Arial" w:cs="Arial"/>
                <w:sz w:val="24"/>
                <w:szCs w:val="24"/>
              </w:rPr>
            </w:pPr>
          </w:p>
          <w:p w14:paraId="46C44502" w14:textId="77777777" w:rsidR="00E35E0F" w:rsidRPr="005F7F3E" w:rsidRDefault="00E35E0F" w:rsidP="00551D8A">
            <w:pPr>
              <w:ind w:right="-720"/>
              <w:rPr>
                <w:rFonts w:ascii="Arial" w:hAnsi="Arial" w:cs="Arial"/>
                <w:sz w:val="24"/>
                <w:szCs w:val="24"/>
              </w:rPr>
            </w:pPr>
          </w:p>
          <w:p w14:paraId="729847AC" w14:textId="77777777" w:rsidR="00E35E0F" w:rsidRPr="005F7F3E" w:rsidRDefault="00E35E0F" w:rsidP="00551D8A">
            <w:pPr>
              <w:ind w:right="-720"/>
              <w:rPr>
                <w:rFonts w:ascii="Arial" w:hAnsi="Arial" w:cs="Arial"/>
                <w:sz w:val="24"/>
                <w:szCs w:val="24"/>
              </w:rPr>
            </w:pPr>
          </w:p>
          <w:p w14:paraId="57028B8B" w14:textId="77777777" w:rsidR="00E35E0F" w:rsidRPr="005F7F3E" w:rsidRDefault="00E35E0F" w:rsidP="00551D8A">
            <w:pPr>
              <w:ind w:right="-720"/>
              <w:rPr>
                <w:rFonts w:ascii="Arial" w:hAnsi="Arial" w:cs="Arial"/>
                <w:sz w:val="24"/>
                <w:szCs w:val="24"/>
              </w:rPr>
            </w:pPr>
          </w:p>
          <w:p w14:paraId="17B0294B" w14:textId="77777777" w:rsidR="00E35E0F" w:rsidRPr="005F7F3E" w:rsidRDefault="00E35E0F" w:rsidP="00551D8A">
            <w:pPr>
              <w:ind w:right="-720"/>
              <w:rPr>
                <w:rFonts w:ascii="Arial" w:hAnsi="Arial" w:cs="Arial"/>
                <w:sz w:val="24"/>
                <w:szCs w:val="24"/>
              </w:rPr>
            </w:pPr>
          </w:p>
        </w:tc>
      </w:tr>
    </w:tbl>
    <w:p w14:paraId="3EF04D4D" w14:textId="77777777" w:rsidR="00E35E0F" w:rsidRPr="005F7F3E" w:rsidRDefault="00E35E0F" w:rsidP="00551D8A">
      <w:pPr>
        <w:spacing w:after="0"/>
        <w:ind w:left="-720" w:right="-720"/>
        <w:rPr>
          <w:rFonts w:ascii="Arial" w:hAnsi="Arial" w:cs="Arial"/>
          <w:sz w:val="24"/>
          <w:szCs w:val="24"/>
        </w:rPr>
      </w:pPr>
    </w:p>
    <w:sectPr w:rsidR="00E35E0F" w:rsidRPr="005F7F3E"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42D3" w14:textId="77777777" w:rsidR="006F3970" w:rsidRDefault="006F3970" w:rsidP="00106C83">
      <w:pPr>
        <w:spacing w:after="0" w:line="240" w:lineRule="auto"/>
      </w:pPr>
      <w:r>
        <w:separator/>
      </w:r>
    </w:p>
  </w:endnote>
  <w:endnote w:type="continuationSeparator" w:id="0">
    <w:p w14:paraId="3FF8151D" w14:textId="77777777" w:rsidR="006F3970" w:rsidRDefault="006F39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DD71" w14:textId="77777777" w:rsidR="006F3970" w:rsidRDefault="006F3970" w:rsidP="00106C83">
      <w:pPr>
        <w:spacing w:after="0" w:line="240" w:lineRule="auto"/>
      </w:pPr>
      <w:r>
        <w:separator/>
      </w:r>
    </w:p>
  </w:footnote>
  <w:footnote w:type="continuationSeparator" w:id="0">
    <w:p w14:paraId="4F608AEC" w14:textId="77777777" w:rsidR="006F3970" w:rsidRDefault="006F397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0EC9"/>
    <w:multiLevelType w:val="multilevel"/>
    <w:tmpl w:val="AC1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0D09A5"/>
    <w:multiLevelType w:val="multilevel"/>
    <w:tmpl w:val="40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94B28"/>
    <w:multiLevelType w:val="multilevel"/>
    <w:tmpl w:val="083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186261"/>
    <w:multiLevelType w:val="multilevel"/>
    <w:tmpl w:val="E3D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687236">
    <w:abstractNumId w:val="1"/>
  </w:num>
  <w:num w:numId="2" w16cid:durableId="2080901071">
    <w:abstractNumId w:val="3"/>
  </w:num>
  <w:num w:numId="3" w16cid:durableId="1852378270">
    <w:abstractNumId w:val="2"/>
  </w:num>
  <w:num w:numId="4" w16cid:durableId="188255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E7871"/>
    <w:rsid w:val="00106C83"/>
    <w:rsid w:val="001547D0"/>
    <w:rsid w:val="00161153"/>
    <w:rsid w:val="001D35CE"/>
    <w:rsid w:val="001F50EC"/>
    <w:rsid w:val="0021446D"/>
    <w:rsid w:val="002720BF"/>
    <w:rsid w:val="00293FD8"/>
    <w:rsid w:val="002A79C8"/>
    <w:rsid w:val="00310C7C"/>
    <w:rsid w:val="003450F1"/>
    <w:rsid w:val="0038705A"/>
    <w:rsid w:val="003B4A66"/>
    <w:rsid w:val="004144E6"/>
    <w:rsid w:val="004156B2"/>
    <w:rsid w:val="00437734"/>
    <w:rsid w:val="0046750D"/>
    <w:rsid w:val="004E14DC"/>
    <w:rsid w:val="00535598"/>
    <w:rsid w:val="00547EE3"/>
    <w:rsid w:val="00551D8A"/>
    <w:rsid w:val="005624C2"/>
    <w:rsid w:val="00581B36"/>
    <w:rsid w:val="00583E8E"/>
    <w:rsid w:val="005D5792"/>
    <w:rsid w:val="005F7F3E"/>
    <w:rsid w:val="00601EBD"/>
    <w:rsid w:val="0062310D"/>
    <w:rsid w:val="00682C5E"/>
    <w:rsid w:val="006B2B4A"/>
    <w:rsid w:val="006F3970"/>
    <w:rsid w:val="00743C01"/>
    <w:rsid w:val="00790C4A"/>
    <w:rsid w:val="007E5BD2"/>
    <w:rsid w:val="007F1D64"/>
    <w:rsid w:val="00872F18"/>
    <w:rsid w:val="00874EF7"/>
    <w:rsid w:val="00894CA0"/>
    <w:rsid w:val="008A5DE7"/>
    <w:rsid w:val="00951408"/>
    <w:rsid w:val="00A43875"/>
    <w:rsid w:val="00A63677"/>
    <w:rsid w:val="00AE46B0"/>
    <w:rsid w:val="00B154D7"/>
    <w:rsid w:val="00B2185C"/>
    <w:rsid w:val="00B242E2"/>
    <w:rsid w:val="00B3284B"/>
    <w:rsid w:val="00B66A21"/>
    <w:rsid w:val="00B71E68"/>
    <w:rsid w:val="00C050B1"/>
    <w:rsid w:val="00C07B29"/>
    <w:rsid w:val="00C13753"/>
    <w:rsid w:val="00C51BC0"/>
    <w:rsid w:val="00D05DC0"/>
    <w:rsid w:val="00E03D41"/>
    <w:rsid w:val="00E35E0F"/>
    <w:rsid w:val="00E371D1"/>
    <w:rsid w:val="00E50418"/>
    <w:rsid w:val="00E53738"/>
    <w:rsid w:val="00ED266E"/>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E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CA0"/>
    <w:rPr>
      <w:b/>
      <w:bCs/>
    </w:rPr>
  </w:style>
  <w:style w:type="character" w:styleId="Hyperlink">
    <w:name w:val="Hyperlink"/>
    <w:basedOn w:val="DefaultParagraphFont"/>
    <w:uiPriority w:val="99"/>
    <w:semiHidden/>
    <w:unhideWhenUsed/>
    <w:rsid w:val="00C07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078">
      <w:bodyDiv w:val="1"/>
      <w:marLeft w:val="0"/>
      <w:marRight w:val="0"/>
      <w:marTop w:val="0"/>
      <w:marBottom w:val="0"/>
      <w:divBdr>
        <w:top w:val="none" w:sz="0" w:space="0" w:color="auto"/>
        <w:left w:val="none" w:sz="0" w:space="0" w:color="auto"/>
        <w:bottom w:val="none" w:sz="0" w:space="0" w:color="auto"/>
        <w:right w:val="none" w:sz="0" w:space="0" w:color="auto"/>
      </w:divBdr>
    </w:div>
    <w:div w:id="418067747">
      <w:bodyDiv w:val="1"/>
      <w:marLeft w:val="0"/>
      <w:marRight w:val="0"/>
      <w:marTop w:val="0"/>
      <w:marBottom w:val="0"/>
      <w:divBdr>
        <w:top w:val="none" w:sz="0" w:space="0" w:color="auto"/>
        <w:left w:val="none" w:sz="0" w:space="0" w:color="auto"/>
        <w:bottom w:val="none" w:sz="0" w:space="0" w:color="auto"/>
        <w:right w:val="none" w:sz="0" w:space="0" w:color="auto"/>
      </w:divBdr>
    </w:div>
    <w:div w:id="722873983">
      <w:bodyDiv w:val="1"/>
      <w:marLeft w:val="0"/>
      <w:marRight w:val="0"/>
      <w:marTop w:val="0"/>
      <w:marBottom w:val="0"/>
      <w:divBdr>
        <w:top w:val="none" w:sz="0" w:space="0" w:color="auto"/>
        <w:left w:val="none" w:sz="0" w:space="0" w:color="auto"/>
        <w:bottom w:val="none" w:sz="0" w:space="0" w:color="auto"/>
        <w:right w:val="none" w:sz="0" w:space="0" w:color="auto"/>
      </w:divBdr>
    </w:div>
    <w:div w:id="1011419154">
      <w:bodyDiv w:val="1"/>
      <w:marLeft w:val="0"/>
      <w:marRight w:val="0"/>
      <w:marTop w:val="0"/>
      <w:marBottom w:val="0"/>
      <w:divBdr>
        <w:top w:val="none" w:sz="0" w:space="0" w:color="auto"/>
        <w:left w:val="none" w:sz="0" w:space="0" w:color="auto"/>
        <w:bottom w:val="none" w:sz="0" w:space="0" w:color="auto"/>
        <w:right w:val="none" w:sz="0" w:space="0" w:color="auto"/>
      </w:divBdr>
    </w:div>
    <w:div w:id="1107578709">
      <w:bodyDiv w:val="1"/>
      <w:marLeft w:val="0"/>
      <w:marRight w:val="0"/>
      <w:marTop w:val="0"/>
      <w:marBottom w:val="0"/>
      <w:divBdr>
        <w:top w:val="none" w:sz="0" w:space="0" w:color="auto"/>
        <w:left w:val="none" w:sz="0" w:space="0" w:color="auto"/>
        <w:bottom w:val="none" w:sz="0" w:space="0" w:color="auto"/>
        <w:right w:val="none" w:sz="0" w:space="0" w:color="auto"/>
      </w:divBdr>
    </w:div>
    <w:div w:id="1212965278">
      <w:bodyDiv w:val="1"/>
      <w:marLeft w:val="0"/>
      <w:marRight w:val="0"/>
      <w:marTop w:val="0"/>
      <w:marBottom w:val="0"/>
      <w:divBdr>
        <w:top w:val="none" w:sz="0" w:space="0" w:color="auto"/>
        <w:left w:val="none" w:sz="0" w:space="0" w:color="auto"/>
        <w:bottom w:val="none" w:sz="0" w:space="0" w:color="auto"/>
        <w:right w:val="none" w:sz="0" w:space="0" w:color="auto"/>
      </w:divBdr>
    </w:div>
    <w:div w:id="1775632418">
      <w:bodyDiv w:val="1"/>
      <w:marLeft w:val="0"/>
      <w:marRight w:val="0"/>
      <w:marTop w:val="0"/>
      <w:marBottom w:val="0"/>
      <w:divBdr>
        <w:top w:val="none" w:sz="0" w:space="0" w:color="auto"/>
        <w:left w:val="none" w:sz="0" w:space="0" w:color="auto"/>
        <w:bottom w:val="none" w:sz="0" w:space="0" w:color="auto"/>
        <w:right w:val="none" w:sz="0" w:space="0" w:color="auto"/>
      </w:divBdr>
    </w:div>
    <w:div w:id="1827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7" ma:contentTypeDescription="Create a new document." ma:contentTypeScope="" ma:versionID="05c1f11b7468314cbd10522bacb5fa12">
  <xsd:schema xmlns:xsd="http://www.w3.org/2001/XMLSchema" xmlns:xs="http://www.w3.org/2001/XMLSchema" xmlns:p="http://schemas.microsoft.com/office/2006/metadata/properties" xmlns:ns1="http://schemas.microsoft.com/sharepoint/v3" xmlns:ns2="dee9fee9-04b1-4506-bf68-b4aacb58dbd4" xmlns:ns3="56963302-5c31-401d-a271-72bffc9469c9" xmlns:ns4="http://schemas.microsoft.com/sharepoint/v4" targetNamespace="http://schemas.microsoft.com/office/2006/metadata/properties" ma:root="true" ma:fieldsID="2f185e67b82a28c291f32b31ac80f4fc" ns1:_="" ns2:_="" ns3:_="" ns4:_="">
    <xsd:import namespace="http://schemas.microsoft.com/sharepoint/v3"/>
    <xsd:import namespace="dee9fee9-04b1-4506-bf68-b4aacb58dbd4"/>
    <xsd:import namespace="56963302-5c31-401d-a271-72bffc9469c9"/>
    <xsd:import namespace="http://schemas.microsoft.com/sharepoint/v4"/>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Evaluation"/>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BB"/>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CI Engineer, Inc."/>
              <xsd:enumeration value="Secretary of State"/>
              <xsd:enumeration value="Shannon and Wilson, Inc."/>
              <xsd:enumeration value="Shared Use Mobility Center"/>
              <xsd:enumeration value="SLU"/>
              <xsd:enumeration value="Solar Roadways"/>
              <xsd:enumeration value="SRF Consulting Group, Inc."/>
              <xsd:enumeration value="Techstreet"/>
              <xsd:enumeration value="The Kercher Group, Inc"/>
              <xsd:enumeration value="Transtec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Contractor_x0020_Name xmlns="56963302-5c31-401d-a271-72bffc9469c9">No award yet</Contractor_x0020_Name>
    <IconOverlay xmlns="http://schemas.microsoft.com/sharepoint/v4" xsi:nil="true"/>
    <Status xmlns="dee9fee9-04b1-4506-bf68-b4aacb58dbd4">Active</Status>
    <Final_x0020_Report_x0020_Due xmlns="dee9fee9-04b1-4506-bf68-b4aacb58dbd4" xsi:nil="true"/>
    <Ratings xmlns="http://schemas.microsoft.com/sharepoint/v3" xsi:nil="true"/>
    <lcf76f155ced4ddcb4097134ff3c332f xmlns="dee9fee9-04b1-4506-bf68-b4aacb58dbd4">
      <Terms xmlns="http://schemas.microsoft.com/office/infopath/2007/PartnerControls"/>
    </lcf76f155ced4ddcb4097134ff3c332f>
    <PI xmlns="56963302-5c31-401d-a271-72bffc9469c9" xsi:nil="true"/>
    <Draft_x0020_Report_x0020_Due xmlns="dee9fee9-04b1-4506-bf68-b4aacb58dbd4" xsi:nil="tr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2025</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2A9E91DD-1D70-4B60-BAD3-17D59EE6B85C}"/>
</file>

<file path=customXml/itemProps3.xml><?xml version="1.0" encoding="utf-8"?>
<ds:datastoreItem xmlns:ds="http://schemas.openxmlformats.org/officeDocument/2006/customXml" ds:itemID="{12058D68-2F7B-420B-B24C-041A91CA05DC}"/>
</file>

<file path=customXml/itemProps4.xml><?xml version="1.0" encoding="utf-8"?>
<ds:datastoreItem xmlns:ds="http://schemas.openxmlformats.org/officeDocument/2006/customXml" ds:itemID="{05FE3034-CCB4-4D71-A879-8A8589A98925}"/>
</file>

<file path=docProps/app.xml><?xml version="1.0" encoding="utf-8"?>
<Properties xmlns="http://schemas.openxmlformats.org/officeDocument/2006/extended-properties" xmlns:vt="http://schemas.openxmlformats.org/officeDocument/2006/docPropsVTypes">
  <Template>Normal.dotm</Template>
  <TotalTime>13</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TR202501 Quarterly Report Q3</dc:title>
  <dc:subject/>
  <dc:creator>lisa.williams</dc:creator>
  <cp:keywords/>
  <dc:description/>
  <cp:lastModifiedBy>Adu-Gyamfi, Yaw</cp:lastModifiedBy>
  <cp:revision>5</cp:revision>
  <cp:lastPrinted>2011-06-21T20:32:00Z</cp:lastPrinted>
  <dcterms:created xsi:type="dcterms:W3CDTF">2025-01-02T20:47:00Z</dcterms:created>
  <dcterms:modified xsi:type="dcterms:W3CDTF">2025-07-15T18:52:00Z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3161600</vt:r8>
  </property>
  <property fmtid="{D5CDD505-2E9C-101B-9397-08002B2CF9AE}" pid="4" name="MediaServiceImageTags">
    <vt:lpwstr/>
  </property>
</Properties>
</file>