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06BA937" w:rsidR="00551D8A" w:rsidRDefault="009A540D"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6DB7A6F" w:rsidR="00551D8A" w:rsidRDefault="00675C6C"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1F8096D" w:rsidR="00551D8A" w:rsidRDefault="00675C6C" w:rsidP="00037FBC">
            <w:pPr>
              <w:ind w:right="-720"/>
              <w:rPr>
                <w:rFonts w:ascii="Arial" w:hAnsi="Arial" w:cs="Arial"/>
                <w:sz w:val="20"/>
                <w:szCs w:val="20"/>
              </w:rPr>
            </w:pPr>
            <w:r>
              <w:rPr>
                <w:rFonts w:ascii="Arial" w:hAnsi="Arial" w:cs="Arial"/>
                <w:sz w:val="36"/>
                <w:szCs w:val="36"/>
              </w:rPr>
              <w:t>X</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88B8946" w:rsidR="00551D8A" w:rsidRPr="00551D8A" w:rsidRDefault="0004492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37174198" w:rsidR="00874EF7" w:rsidRPr="00B66A21" w:rsidRDefault="00214871" w:rsidP="00EA3504">
            <w:pPr>
              <w:ind w:right="-720"/>
              <w:rPr>
                <w:rFonts w:ascii="Arial" w:hAnsi="Arial" w:cs="Arial"/>
                <w:sz w:val="20"/>
                <w:szCs w:val="20"/>
              </w:rPr>
            </w:pPr>
            <w:r>
              <w:rPr>
                <w:rFonts w:ascii="Arial" w:hAnsi="Arial" w:cs="Arial"/>
                <w:sz w:val="20"/>
                <w:szCs w:val="20"/>
              </w:rPr>
              <w:t>$</w:t>
            </w:r>
            <w:r w:rsidR="00580B0D">
              <w:rPr>
                <w:rFonts w:ascii="Arial" w:hAnsi="Arial" w:cs="Arial"/>
                <w:sz w:val="20"/>
                <w:szCs w:val="20"/>
              </w:rPr>
              <w:t>3,976</w:t>
            </w:r>
          </w:p>
        </w:tc>
        <w:tc>
          <w:tcPr>
            <w:tcW w:w="3420" w:type="dxa"/>
            <w:vAlign w:val="center"/>
          </w:tcPr>
          <w:p w14:paraId="51DE6905" w14:textId="239BFB6B" w:rsidR="00874EF7" w:rsidRPr="00B66A21" w:rsidRDefault="00580B0D" w:rsidP="00EA3504">
            <w:pPr>
              <w:ind w:right="-720"/>
              <w:rPr>
                <w:rFonts w:ascii="Arial" w:hAnsi="Arial" w:cs="Arial"/>
                <w:sz w:val="20"/>
                <w:szCs w:val="20"/>
              </w:rPr>
            </w:pPr>
            <w:r>
              <w:rPr>
                <w:rFonts w:ascii="Arial" w:hAnsi="Arial" w:cs="Arial"/>
                <w:sz w:val="20"/>
                <w:szCs w:val="20"/>
              </w:rPr>
              <w:t>30</w:t>
            </w:r>
            <w:r w:rsidR="00214871">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C9762B1" w:rsidR="00B66A21" w:rsidRPr="00B66A21" w:rsidRDefault="009C2C1A" w:rsidP="00EA3504">
            <w:pPr>
              <w:ind w:right="-720"/>
              <w:rPr>
                <w:rFonts w:ascii="Arial" w:hAnsi="Arial" w:cs="Arial"/>
                <w:sz w:val="20"/>
                <w:szCs w:val="20"/>
              </w:rPr>
            </w:pPr>
            <w:r>
              <w:rPr>
                <w:rFonts w:ascii="Arial" w:hAnsi="Arial" w:cs="Arial"/>
                <w:sz w:val="20"/>
                <w:szCs w:val="20"/>
              </w:rPr>
              <w:t>$</w:t>
            </w:r>
            <w:r w:rsidR="00580B0D">
              <w:rPr>
                <w:rFonts w:ascii="Arial" w:hAnsi="Arial" w:cs="Arial"/>
                <w:sz w:val="20"/>
                <w:szCs w:val="20"/>
              </w:rPr>
              <w:t>3,976</w:t>
            </w:r>
            <w:r w:rsidR="00460366">
              <w:rPr>
                <w:rFonts w:ascii="Arial" w:hAnsi="Arial" w:cs="Arial"/>
                <w:sz w:val="20"/>
                <w:szCs w:val="20"/>
              </w:rPr>
              <w:t xml:space="preserve"> / </w:t>
            </w:r>
            <w:r w:rsidR="00580B0D">
              <w:rPr>
                <w:rFonts w:ascii="Arial" w:hAnsi="Arial" w:cs="Arial"/>
                <w:sz w:val="20"/>
                <w:szCs w:val="20"/>
              </w:rPr>
              <w:t>1</w:t>
            </w:r>
            <w:r w:rsidR="00214871">
              <w:rPr>
                <w:rFonts w:ascii="Arial" w:hAnsi="Arial" w:cs="Arial"/>
                <w:sz w:val="20"/>
                <w:szCs w:val="20"/>
              </w:rPr>
              <w:t>0</w:t>
            </w:r>
            <w:r w:rsidR="00460366">
              <w:rPr>
                <w:rFonts w:ascii="Arial" w:hAnsi="Arial" w:cs="Arial"/>
                <w:sz w:val="20"/>
                <w:szCs w:val="20"/>
              </w:rPr>
              <w:t>%</w:t>
            </w:r>
          </w:p>
        </w:tc>
        <w:tc>
          <w:tcPr>
            <w:tcW w:w="3330" w:type="dxa"/>
            <w:vAlign w:val="center"/>
          </w:tcPr>
          <w:p w14:paraId="12AC1F57" w14:textId="27246753" w:rsidR="00B66A21" w:rsidRPr="00B66A21" w:rsidRDefault="009C2C1A" w:rsidP="00EA3504">
            <w:pPr>
              <w:ind w:right="-720"/>
              <w:rPr>
                <w:rFonts w:ascii="Arial" w:hAnsi="Arial" w:cs="Arial"/>
                <w:sz w:val="20"/>
                <w:szCs w:val="20"/>
              </w:rPr>
            </w:pPr>
            <w:r>
              <w:rPr>
                <w:rFonts w:ascii="Arial" w:hAnsi="Arial" w:cs="Arial"/>
                <w:sz w:val="20"/>
                <w:szCs w:val="20"/>
              </w:rPr>
              <w:t>$</w:t>
            </w:r>
            <w:r w:rsidR="00580B0D">
              <w:rPr>
                <w:rFonts w:ascii="Arial" w:hAnsi="Arial" w:cs="Arial"/>
                <w:sz w:val="20"/>
                <w:szCs w:val="20"/>
              </w:rPr>
              <w:t>3,976</w:t>
            </w:r>
          </w:p>
        </w:tc>
        <w:tc>
          <w:tcPr>
            <w:tcW w:w="3420" w:type="dxa"/>
            <w:vAlign w:val="center"/>
          </w:tcPr>
          <w:p w14:paraId="2686E8E0" w14:textId="752AFCBE" w:rsidR="00B66A21" w:rsidRPr="00B66A21" w:rsidRDefault="00580B0D" w:rsidP="00EA3504">
            <w:pPr>
              <w:ind w:right="-720"/>
              <w:rPr>
                <w:rFonts w:ascii="Arial" w:hAnsi="Arial" w:cs="Arial"/>
                <w:sz w:val="20"/>
                <w:szCs w:val="20"/>
              </w:rPr>
            </w:pPr>
            <w:r>
              <w:rPr>
                <w:rFonts w:ascii="Arial" w:hAnsi="Arial" w:cs="Arial"/>
                <w:sz w:val="20"/>
                <w:szCs w:val="20"/>
              </w:rPr>
              <w:t>30</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 xml:space="preserve">The Steering Committee will serve as lead for the execution of this Pooled Fund project. The </w:t>
            </w:r>
            <w:r w:rsidRPr="00A22E3A">
              <w:rPr>
                <w:rFonts w:ascii="Source Sans Pro" w:eastAsia="Times New Roman" w:hAnsi="Source Sans Pro" w:cs="Times New Roman"/>
                <w:color w:val="212529"/>
                <w:sz w:val="23"/>
                <w:szCs w:val="23"/>
              </w:rPr>
              <w:t>principal</w:t>
            </w:r>
            <w:r w:rsidRPr="00A22E3A">
              <w:rPr>
                <w:rFonts w:ascii="Source Sans Pro" w:eastAsia="Times New Roman" w:hAnsi="Source Sans Pro" w:cs="Times New Roman"/>
                <w:color w:val="212529"/>
                <w:sz w:val="23"/>
                <w:szCs w:val="23"/>
              </w:rPr>
              <w:t xml:space="preserve">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26C38775" w14:textId="3B23D45D" w:rsidR="00A22E3A" w:rsidRDefault="00A22E3A" w:rsidP="0041610F">
            <w:pPr>
              <w:ind w:right="-14"/>
            </w:pPr>
            <w:r>
              <w:t>Planning for the 2024 National Hydraulic Engineering Conference commenced in January 2023. The 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1D18B857" w14:textId="16CF562A" w:rsidR="00580B0D" w:rsidRDefault="00580B0D" w:rsidP="00571DCF">
            <w:r>
              <w:t>July</w:t>
            </w:r>
            <w:r w:rsidR="00044927">
              <w:t xml:space="preserve"> 2024 – The Steering Committee met on </w:t>
            </w:r>
            <w:r>
              <w:t>July 12</w:t>
            </w:r>
            <w:r w:rsidRPr="00580B0D">
              <w:rPr>
                <w:vertAlign w:val="superscript"/>
              </w:rPr>
              <w:t>th</w:t>
            </w:r>
            <w:r>
              <w:t xml:space="preserve"> and July 26</w:t>
            </w:r>
            <w:r w:rsidRPr="00580B0D">
              <w:rPr>
                <w:vertAlign w:val="superscript"/>
              </w:rPr>
              <w:t>th</w:t>
            </w:r>
            <w:r>
              <w:t>. On the 12</w:t>
            </w:r>
            <w:r w:rsidRPr="00580B0D">
              <w:rPr>
                <w:vertAlign w:val="superscript"/>
              </w:rPr>
              <w:t>th</w:t>
            </w:r>
            <w:r>
              <w:t xml:space="preserve">, the Steering Committee received an update on registered attendee count, the recording/speaking equipment for each room, moderator status, agenda/program booklet update, and discussed the Mark Miles Award. </w:t>
            </w:r>
          </w:p>
          <w:p w14:paraId="68340828" w14:textId="77777777" w:rsidR="00580B0D" w:rsidRDefault="00580B0D" w:rsidP="00571DCF"/>
          <w:p w14:paraId="45F4999B" w14:textId="7972D0E2" w:rsidR="00580B0D" w:rsidRDefault="00580B0D" w:rsidP="00580B0D">
            <w:r>
              <w:t>On the 26</w:t>
            </w:r>
            <w:r w:rsidRPr="00580B0D">
              <w:rPr>
                <w:vertAlign w:val="superscript"/>
              </w:rPr>
              <w:t>th</w:t>
            </w:r>
            <w:r>
              <w:t xml:space="preserve">, </w:t>
            </w:r>
            <w:r>
              <w:t xml:space="preserve">the Steering Committee received an update on registered attendee count, </w:t>
            </w:r>
            <w:r>
              <w:t xml:space="preserve">discussed the opening remarks and keynote speakers, the revised </w:t>
            </w:r>
            <w:r>
              <w:t>agenda/program booklet</w:t>
            </w:r>
            <w:r>
              <w:t xml:space="preserve"> posting and printing</w:t>
            </w:r>
            <w:r>
              <w:t xml:space="preserve">, and discussed the Mark Miles Award. </w:t>
            </w:r>
          </w:p>
          <w:p w14:paraId="70E382AC" w14:textId="77777777" w:rsidR="00044927" w:rsidRDefault="00044927" w:rsidP="00571DCF"/>
          <w:p w14:paraId="733717F2" w14:textId="71B1F3C9" w:rsidR="00580B0D" w:rsidRDefault="00580B0D" w:rsidP="00571DCF">
            <w:r>
              <w:t>August</w:t>
            </w:r>
            <w:r w:rsidR="00044927">
              <w:t xml:space="preserve"> 2024 – </w:t>
            </w:r>
            <w:r w:rsidR="009A540D">
              <w:t xml:space="preserve">The Steering Committee met on </w:t>
            </w:r>
            <w:r>
              <w:t>August 9</w:t>
            </w:r>
            <w:r w:rsidRPr="00580B0D">
              <w:rPr>
                <w:vertAlign w:val="superscript"/>
              </w:rPr>
              <w:t>th</w:t>
            </w:r>
            <w:r>
              <w:t xml:space="preserve"> to cover any loose ends ahead of the conference at the end of the month. MSDOT provided a registration count update, a hotel block update, and the committee discussed the program booklet and conference venue set up.</w:t>
            </w:r>
          </w:p>
          <w:p w14:paraId="5255EC01" w14:textId="77777777" w:rsidR="00580B0D" w:rsidRDefault="00580B0D" w:rsidP="00571DCF"/>
          <w:p w14:paraId="08236A2D" w14:textId="37700933" w:rsidR="00580B0D" w:rsidRDefault="00580B0D" w:rsidP="00571DCF">
            <w:r>
              <w:t>The conference was held August 26-30, 2024. There were approximately 280 attendees.</w:t>
            </w:r>
          </w:p>
          <w:p w14:paraId="15AA467A" w14:textId="77777777" w:rsidR="00580B0D" w:rsidRDefault="00580B0D" w:rsidP="00571DCF"/>
          <w:p w14:paraId="6EF5055B" w14:textId="046AFFA6" w:rsidR="00601EBD" w:rsidRDefault="00580B0D" w:rsidP="00044927">
            <w:r>
              <w:t>September</w:t>
            </w:r>
            <w:r w:rsidR="00044927">
              <w:t xml:space="preserve"> 2024 - </w:t>
            </w:r>
            <w:r w:rsidR="009D0697">
              <w:t xml:space="preserve"> </w:t>
            </w:r>
            <w:r w:rsidR="00411C7C">
              <w:t>No meeting</w:t>
            </w:r>
            <w:r>
              <w:t xml:space="preserve">. The Steering Committee followed up with thank you </w:t>
            </w:r>
            <w:proofErr w:type="gramStart"/>
            <w:r>
              <w:t>emails</w:t>
            </w:r>
            <w:proofErr w:type="gramEnd"/>
            <w:r>
              <w:t xml:space="preserve"> and lesson learned amongst the group.</w:t>
            </w:r>
          </w:p>
          <w:p w14:paraId="2E52B060" w14:textId="77777777" w:rsidR="006B22B5" w:rsidRDefault="006B22B5" w:rsidP="00044927"/>
          <w:p w14:paraId="383BEC63" w14:textId="7F6E4BE5" w:rsidR="006B22B5" w:rsidRDefault="006B22B5" w:rsidP="00044927">
            <w:r w:rsidRPr="006B22B5">
              <w:rPr>
                <w:highlight w:val="yellow"/>
              </w:rPr>
              <w:t>Budget spent this quarter includes funds transferred back to Missouri DOT ($2,000) for registration/travel to the conference, funds used by FHWA to register one person from TxDOT ($468), funds used by FHWA to register one person from PennDOT ($520), and funds used by FHWA to register two people from Ohio DOT ($988)</w:t>
            </w:r>
          </w:p>
          <w:p w14:paraId="33CA2C00" w14:textId="68A03053" w:rsidR="009807E8" w:rsidRDefault="009807E8" w:rsidP="00044927">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A952C66" w14:textId="68A4FB99" w:rsidR="004F09FF" w:rsidRDefault="00580B0D" w:rsidP="00580B0D">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Solicit interest for the 2026 conference. Solicitation email generally sent from FHWA to all State Hydraulic Engineers. The solicitation closes at the end of the year and the new conference host is selected in early 2025. </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8518D1F" w14:textId="77777777" w:rsidR="00580B0D"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Steering Committee </w:t>
            </w:r>
            <w:r w:rsidR="00580B0D">
              <w:rPr>
                <w:rFonts w:ascii="Verdana" w:hAnsi="Verdana"/>
                <w:color w:val="333333"/>
                <w:sz w:val="20"/>
                <w:szCs w:val="20"/>
                <w:shd w:val="clear" w:color="auto" w:fill="FFFFFF"/>
              </w:rPr>
              <w:t xml:space="preserve">finalized conference items and prepared for successful conference at the end of August. </w:t>
            </w:r>
          </w:p>
          <w:p w14:paraId="71F4C4DC" w14:textId="77777777" w:rsidR="00580B0D" w:rsidRDefault="00580B0D" w:rsidP="007E5545">
            <w:pPr>
              <w:pStyle w:val="NormalWeb"/>
              <w:spacing w:before="0" w:beforeAutospacing="0" w:after="0" w:afterAutospacing="0"/>
              <w:rPr>
                <w:rFonts w:ascii="Verdana" w:hAnsi="Verdana"/>
                <w:color w:val="333333"/>
                <w:sz w:val="20"/>
                <w:szCs w:val="20"/>
                <w:shd w:val="clear" w:color="auto" w:fill="FFFFFF"/>
              </w:rPr>
            </w:pPr>
          </w:p>
          <w:p w14:paraId="1A0C7D0B" w14:textId="77777777" w:rsidR="00411C7C" w:rsidRDefault="00580B0D" w:rsidP="00580B0D">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Conference was held in Biloxi, MS and had around 280 attendees.</w:t>
            </w:r>
          </w:p>
          <w:p w14:paraId="149BC12A" w14:textId="2160C306" w:rsidR="00580B0D" w:rsidRDefault="00580B0D" w:rsidP="00580B0D">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0A43AF86" w14:textId="77777777" w:rsidR="00580B0D" w:rsidRDefault="00580B0D" w:rsidP="007E5545">
            <w:pPr>
              <w:pStyle w:val="NormalWeb"/>
              <w:spacing w:before="0" w:beforeAutospacing="0" w:after="0" w:afterAutospacing="0"/>
              <w:rPr>
                <w:rFonts w:ascii="Verdana" w:hAnsi="Verdana"/>
                <w:color w:val="333333"/>
                <w:sz w:val="20"/>
                <w:szCs w:val="20"/>
                <w:shd w:val="clear" w:color="auto" w:fill="FFFFFF"/>
              </w:rPr>
            </w:pPr>
          </w:p>
          <w:p w14:paraId="7F98C214" w14:textId="77777777" w:rsidR="00580B0D" w:rsidRPr="007E5545" w:rsidRDefault="00580B0D" w:rsidP="007E5545">
            <w:pPr>
              <w:pStyle w:val="NormalWeb"/>
              <w:spacing w:before="0" w:beforeAutospacing="0" w:after="0" w:afterAutospacing="0"/>
              <w:rPr>
                <w:rFonts w:ascii="Verdana" w:hAnsi="Verdana"/>
                <w:color w:val="333333"/>
                <w:sz w:val="20"/>
                <w:szCs w:val="20"/>
                <w:shd w:val="clear" w:color="auto" w:fill="FFFFFF"/>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7777777"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2024 National Hydraulic Engineering Conference will be in Biloxi, MS hosted by the Mississippi DOT. The conference will include workshops, breakout rooms, peer exchanges, field trips, and presentation by/for Hydraulic Engineers working in transportation. After the conference, the presentations will be made available through YouTube.</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4411" w14:textId="77777777" w:rsidR="00A664E5" w:rsidRDefault="00A664E5" w:rsidP="00106C83">
      <w:pPr>
        <w:spacing w:after="0" w:line="240" w:lineRule="auto"/>
      </w:pPr>
      <w:r>
        <w:separator/>
      </w:r>
    </w:p>
  </w:endnote>
  <w:endnote w:type="continuationSeparator" w:id="0">
    <w:p w14:paraId="39EF077D" w14:textId="77777777" w:rsidR="00A664E5" w:rsidRDefault="00A664E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2E25" w14:textId="77777777" w:rsidR="00A664E5" w:rsidRDefault="00A664E5" w:rsidP="00106C83">
      <w:pPr>
        <w:spacing w:after="0" w:line="240" w:lineRule="auto"/>
      </w:pPr>
      <w:r>
        <w:separator/>
      </w:r>
    </w:p>
  </w:footnote>
  <w:footnote w:type="continuationSeparator" w:id="0">
    <w:p w14:paraId="3D91AC2E" w14:textId="77777777" w:rsidR="00A664E5" w:rsidRDefault="00A664E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FC1087"/>
    <w:multiLevelType w:val="hybridMultilevel"/>
    <w:tmpl w:val="78D2A12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4"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5"/>
  </w:num>
  <w:num w:numId="2" w16cid:durableId="838083737">
    <w:abstractNumId w:val="7"/>
  </w:num>
  <w:num w:numId="3" w16cid:durableId="1998420131">
    <w:abstractNumId w:val="1"/>
  </w:num>
  <w:num w:numId="4" w16cid:durableId="1505627253">
    <w:abstractNumId w:val="0"/>
  </w:num>
  <w:num w:numId="5" w16cid:durableId="598681850">
    <w:abstractNumId w:val="6"/>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29864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871"/>
    <w:rsid w:val="00214BEE"/>
    <w:rsid w:val="00223662"/>
    <w:rsid w:val="00243C23"/>
    <w:rsid w:val="00293FD8"/>
    <w:rsid w:val="002A79C8"/>
    <w:rsid w:val="002B1364"/>
    <w:rsid w:val="00365DDA"/>
    <w:rsid w:val="0038174B"/>
    <w:rsid w:val="00383525"/>
    <w:rsid w:val="0038705A"/>
    <w:rsid w:val="00391DD0"/>
    <w:rsid w:val="00411C7C"/>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71DCF"/>
    <w:rsid w:val="00580B0D"/>
    <w:rsid w:val="00581B36"/>
    <w:rsid w:val="00583E8E"/>
    <w:rsid w:val="005947C7"/>
    <w:rsid w:val="005C409C"/>
    <w:rsid w:val="005D76BE"/>
    <w:rsid w:val="005E49C6"/>
    <w:rsid w:val="00601EBD"/>
    <w:rsid w:val="00612E1F"/>
    <w:rsid w:val="00647B52"/>
    <w:rsid w:val="00675C6C"/>
    <w:rsid w:val="00682C5E"/>
    <w:rsid w:val="006A11DE"/>
    <w:rsid w:val="006B22B5"/>
    <w:rsid w:val="006B5389"/>
    <w:rsid w:val="0073652A"/>
    <w:rsid w:val="00743C01"/>
    <w:rsid w:val="00790C4A"/>
    <w:rsid w:val="007E5545"/>
    <w:rsid w:val="007E5BD2"/>
    <w:rsid w:val="00836EE2"/>
    <w:rsid w:val="0086569E"/>
    <w:rsid w:val="008729CF"/>
    <w:rsid w:val="00872F18"/>
    <w:rsid w:val="00874EF7"/>
    <w:rsid w:val="00887140"/>
    <w:rsid w:val="008F6463"/>
    <w:rsid w:val="0091423C"/>
    <w:rsid w:val="00942633"/>
    <w:rsid w:val="00951D2E"/>
    <w:rsid w:val="009807E8"/>
    <w:rsid w:val="009A540D"/>
    <w:rsid w:val="009C2C1A"/>
    <w:rsid w:val="009D0697"/>
    <w:rsid w:val="009D49D4"/>
    <w:rsid w:val="009E21D4"/>
    <w:rsid w:val="009F02D3"/>
    <w:rsid w:val="00A029D0"/>
    <w:rsid w:val="00A22E3A"/>
    <w:rsid w:val="00A328D0"/>
    <w:rsid w:val="00A43875"/>
    <w:rsid w:val="00A57D1D"/>
    <w:rsid w:val="00A63677"/>
    <w:rsid w:val="00A664E5"/>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77224257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 w:id="1216233415">
      <w:bodyDiv w:val="1"/>
      <w:marLeft w:val="0"/>
      <w:marRight w:val="0"/>
      <w:marTop w:val="0"/>
      <w:marBottom w:val="0"/>
      <w:divBdr>
        <w:top w:val="none" w:sz="0" w:space="0" w:color="auto"/>
        <w:left w:val="none" w:sz="0" w:space="0" w:color="auto"/>
        <w:bottom w:val="none" w:sz="0" w:space="0" w:color="auto"/>
        <w:right w:val="none" w:sz="0" w:space="0" w:color="auto"/>
      </w:divBdr>
    </w:div>
    <w:div w:id="194989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2024-11-07T18:53:00Z</dcterms:created>
  <dcterms:modified xsi:type="dcterms:W3CDTF">2024-11-07T18:53:00Z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