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7ECB6C70" w:rsidR="00551D8A" w:rsidRDefault="00EE7068"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64E314B8" w:rsidR="00551D8A" w:rsidRDefault="001C08C9" w:rsidP="00037FBC">
            <w:pPr>
              <w:ind w:right="-720"/>
              <w:rPr>
                <w:rFonts w:ascii="Arial" w:hAnsi="Arial" w:cs="Arial"/>
                <w:sz w:val="20"/>
                <w:szCs w:val="20"/>
              </w:rPr>
            </w:pPr>
            <w:r w:rsidRPr="00551D8A">
              <w:rPr>
                <w:rFonts w:ascii="Arial" w:hAnsi="Arial" w:cs="Arial"/>
                <w:sz w:val="36"/>
                <w:szCs w:val="36"/>
              </w:rPr>
              <w:t>□</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5019F4F4" w:rsidR="00551D8A" w:rsidRDefault="001C08C9" w:rsidP="00037FBC">
            <w:pPr>
              <w:ind w:right="-720"/>
              <w:rPr>
                <w:rFonts w:ascii="Arial" w:hAnsi="Arial" w:cs="Arial"/>
                <w:sz w:val="20"/>
                <w:szCs w:val="20"/>
              </w:rPr>
            </w:pPr>
            <w:r>
              <w:rPr>
                <w:rFonts w:ascii="Arial" w:hAnsi="Arial" w:cs="Arial"/>
                <w:sz w:val="36"/>
                <w:szCs w:val="36"/>
              </w:rPr>
              <w:t>X</w:t>
            </w:r>
            <w:r w:rsidR="006C303A">
              <w:rPr>
                <w:rFonts w:ascii="Arial" w:hAnsi="Arial" w:cs="Arial"/>
                <w:sz w:val="36"/>
                <w:szCs w:val="36"/>
              </w:rPr>
              <w:t xml:space="preserve"> </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14253A2" w:rsidR="00551D8A" w:rsidRPr="00551D8A" w:rsidRDefault="00F461B5"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1C08C9" w:rsidRDefault="00535598" w:rsidP="0003476C">
            <w:pPr>
              <w:ind w:right="-720"/>
              <w:rPr>
                <w:rFonts w:ascii="Arial" w:hAnsi="Arial" w:cs="Arial"/>
                <w:bCs/>
                <w:sz w:val="20"/>
                <w:szCs w:val="20"/>
              </w:rPr>
            </w:pPr>
            <w:r w:rsidRPr="001C08C9">
              <w:rPr>
                <w:rFonts w:ascii="Arial" w:hAnsi="Arial" w:cs="Arial"/>
                <w:b/>
                <w:sz w:val="20"/>
                <w:szCs w:val="20"/>
              </w:rPr>
              <w:t>Current Project End Date:</w:t>
            </w:r>
          </w:p>
          <w:p w14:paraId="45492F13" w14:textId="6D4035CE" w:rsidR="00BA030F" w:rsidRPr="001C08C9" w:rsidRDefault="00EE7068" w:rsidP="0003476C">
            <w:pPr>
              <w:ind w:right="-720"/>
              <w:rPr>
                <w:rFonts w:ascii="Arial" w:hAnsi="Arial" w:cs="Arial"/>
                <w:b/>
                <w:sz w:val="20"/>
                <w:szCs w:val="20"/>
              </w:rPr>
            </w:pPr>
            <w:r w:rsidRPr="001C08C9">
              <w:rPr>
                <w:rFonts w:ascii="Arial" w:hAnsi="Arial" w:cs="Arial"/>
                <w:bCs/>
                <w:sz w:val="20"/>
                <w:szCs w:val="20"/>
              </w:rPr>
              <w:t>September</w:t>
            </w:r>
            <w:r w:rsidR="00753770" w:rsidRPr="001C08C9">
              <w:rPr>
                <w:rFonts w:ascii="Arial" w:hAnsi="Arial" w:cs="Arial"/>
                <w:bCs/>
                <w:sz w:val="20"/>
                <w:szCs w:val="20"/>
              </w:rPr>
              <w:t xml:space="preserv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7409BA">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0F154CE5" w:rsidR="00874EF7" w:rsidRPr="00B66A21" w:rsidRDefault="000170B0" w:rsidP="007409BA">
            <w:pPr>
              <w:ind w:right="-720"/>
              <w:rPr>
                <w:rFonts w:ascii="Arial" w:hAnsi="Arial" w:cs="Arial"/>
                <w:sz w:val="20"/>
                <w:szCs w:val="20"/>
              </w:rPr>
            </w:pPr>
            <w:r>
              <w:rPr>
                <w:rFonts w:ascii="Arial" w:hAnsi="Arial" w:cs="Arial"/>
                <w:sz w:val="20"/>
                <w:szCs w:val="20"/>
              </w:rPr>
              <w:t>$</w:t>
            </w:r>
            <w:r w:rsidR="001C08C9">
              <w:rPr>
                <w:rFonts w:ascii="Arial" w:hAnsi="Arial" w:cs="Arial"/>
                <w:sz w:val="20"/>
                <w:szCs w:val="20"/>
              </w:rPr>
              <w:t>640,894</w:t>
            </w:r>
          </w:p>
        </w:tc>
        <w:tc>
          <w:tcPr>
            <w:tcW w:w="3420" w:type="dxa"/>
            <w:vAlign w:val="center"/>
          </w:tcPr>
          <w:p w14:paraId="51DE6905" w14:textId="3B0C7D62" w:rsidR="00874EF7" w:rsidRPr="00B66A21" w:rsidRDefault="001C08C9" w:rsidP="007409BA">
            <w:pPr>
              <w:ind w:right="-720"/>
              <w:rPr>
                <w:rFonts w:ascii="Arial" w:hAnsi="Arial" w:cs="Arial"/>
                <w:sz w:val="20"/>
                <w:szCs w:val="20"/>
              </w:rPr>
            </w:pPr>
            <w:r>
              <w:rPr>
                <w:rFonts w:ascii="Arial" w:hAnsi="Arial" w:cs="Arial"/>
                <w:sz w:val="20"/>
                <w:szCs w:val="20"/>
              </w:rPr>
              <w:t>100</w:t>
            </w:r>
            <w:r w:rsidR="00456B18">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5F7A0793" w:rsidR="00B66A21" w:rsidRPr="00B66A21" w:rsidRDefault="00F461B5" w:rsidP="00EA3504">
            <w:pPr>
              <w:ind w:right="-720"/>
              <w:rPr>
                <w:rFonts w:ascii="Arial" w:hAnsi="Arial" w:cs="Arial"/>
                <w:sz w:val="20"/>
                <w:szCs w:val="20"/>
              </w:rPr>
            </w:pPr>
            <w:r>
              <w:rPr>
                <w:rFonts w:ascii="Arial" w:hAnsi="Arial" w:cs="Arial"/>
                <w:sz w:val="20"/>
                <w:szCs w:val="20"/>
              </w:rPr>
              <w:t>$</w:t>
            </w:r>
            <w:r w:rsidR="00EE7068">
              <w:rPr>
                <w:rFonts w:ascii="Arial" w:hAnsi="Arial" w:cs="Arial"/>
                <w:sz w:val="20"/>
                <w:szCs w:val="20"/>
              </w:rPr>
              <w:t>26,560</w:t>
            </w:r>
            <w:r>
              <w:rPr>
                <w:rFonts w:ascii="Arial" w:hAnsi="Arial" w:cs="Arial"/>
                <w:sz w:val="20"/>
                <w:szCs w:val="20"/>
              </w:rPr>
              <w:t xml:space="preserve"> / </w:t>
            </w:r>
            <w:r w:rsidR="00EE7068">
              <w:rPr>
                <w:rFonts w:ascii="Arial" w:hAnsi="Arial" w:cs="Arial"/>
                <w:sz w:val="20"/>
                <w:szCs w:val="20"/>
              </w:rPr>
              <w:t>5</w:t>
            </w:r>
            <w:r>
              <w:rPr>
                <w:rFonts w:ascii="Arial" w:hAnsi="Arial" w:cs="Arial"/>
                <w:sz w:val="20"/>
                <w:szCs w:val="20"/>
              </w:rPr>
              <w:t>%</w:t>
            </w:r>
          </w:p>
        </w:tc>
        <w:tc>
          <w:tcPr>
            <w:tcW w:w="3330" w:type="dxa"/>
            <w:vAlign w:val="center"/>
          </w:tcPr>
          <w:p w14:paraId="12AC1F57" w14:textId="0907CDDB" w:rsidR="00B66A21" w:rsidRPr="00B66A21" w:rsidRDefault="00EE7068" w:rsidP="00EA3504">
            <w:pPr>
              <w:ind w:right="-720"/>
              <w:rPr>
                <w:rFonts w:ascii="Arial" w:hAnsi="Arial" w:cs="Arial"/>
                <w:sz w:val="20"/>
                <w:szCs w:val="20"/>
              </w:rPr>
            </w:pPr>
            <w:r>
              <w:rPr>
                <w:rFonts w:ascii="Arial" w:hAnsi="Arial" w:cs="Arial"/>
                <w:sz w:val="20"/>
                <w:szCs w:val="20"/>
              </w:rPr>
              <w:t>$26,560</w:t>
            </w:r>
          </w:p>
        </w:tc>
        <w:tc>
          <w:tcPr>
            <w:tcW w:w="3420" w:type="dxa"/>
            <w:vAlign w:val="center"/>
          </w:tcPr>
          <w:p w14:paraId="2686E8E0" w14:textId="05B2BFAD" w:rsidR="00B66A21" w:rsidRPr="00B66A21" w:rsidRDefault="001C08C9" w:rsidP="00EA3504">
            <w:pPr>
              <w:ind w:right="-720"/>
              <w:rPr>
                <w:rFonts w:ascii="Arial" w:hAnsi="Arial" w:cs="Arial"/>
                <w:sz w:val="20"/>
                <w:szCs w:val="20"/>
              </w:rPr>
            </w:pPr>
            <w:r>
              <w:rPr>
                <w:rFonts w:ascii="Arial" w:hAnsi="Arial" w:cs="Arial"/>
                <w:sz w:val="20"/>
                <w:szCs w:val="20"/>
              </w:rPr>
              <w:t>100</w:t>
            </w:r>
            <w:r w:rsidR="00456B18">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CellMar>
          <w:left w:w="130" w:type="dxa"/>
          <w:right w:w="130" w:type="dxa"/>
        </w:tblCellMar>
        <w:tblLook w:val="04A0" w:firstRow="1" w:lastRow="0" w:firstColumn="1" w:lastColumn="0" w:noHBand="0" w:noVBand="1"/>
      </w:tblPr>
      <w:tblGrid>
        <w:gridCol w:w="10908"/>
      </w:tblGrid>
      <w:tr w:rsidR="00601EBD" w14:paraId="6E06C8CD" w14:textId="77777777" w:rsidTr="00E50929">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6B598C8F" w14:textId="702D4FF3" w:rsidR="003A590F" w:rsidRDefault="003A590F" w:rsidP="000170B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During this reporting period, NOAA</w:t>
            </w:r>
            <w:r w:rsidRPr="003A590F">
              <w:rPr>
                <w:rFonts w:ascii="Verdana" w:hAnsi="Verdana"/>
                <w:color w:val="333333"/>
                <w:sz w:val="20"/>
                <w:szCs w:val="20"/>
                <w:shd w:val="clear" w:color="auto" w:fill="FFFFFF"/>
              </w:rPr>
              <w:t xml:space="preserve"> </w:t>
            </w:r>
            <w:r w:rsidR="000C6D26" w:rsidRPr="000C6D26">
              <w:rPr>
                <w:rFonts w:ascii="Verdana" w:hAnsi="Verdana"/>
                <w:color w:val="333333"/>
                <w:sz w:val="20"/>
                <w:szCs w:val="20"/>
                <w:shd w:val="clear" w:color="auto" w:fill="FFFFFF"/>
              </w:rPr>
              <w:t>we finalized estimates across all durations, 1-day through 60-day, after extensively reviewing the spatial patterns and corresponding depth-duration</w:t>
            </w:r>
            <w:r w:rsidR="000C6D26" w:rsidRPr="000C6D26">
              <w:rPr>
                <w:rFonts w:ascii="Verdana" w:hAnsi="Verdana"/>
                <w:color w:val="333333"/>
                <w:sz w:val="20"/>
                <w:szCs w:val="20"/>
                <w:shd w:val="clear" w:color="auto" w:fill="FFFFFF"/>
              </w:rPr>
              <w:t xml:space="preserve"> </w:t>
            </w:r>
            <w:r w:rsidR="000C6D26" w:rsidRPr="000C6D26">
              <w:rPr>
                <w:rFonts w:ascii="Verdana" w:hAnsi="Verdana"/>
                <w:color w:val="333333"/>
                <w:sz w:val="20"/>
                <w:szCs w:val="20"/>
                <w:shd w:val="clear" w:color="auto" w:fill="FFFFFF"/>
              </w:rPr>
              <w:t xml:space="preserve">frequency (DDF) curves. Once the review of estimates was complete, </w:t>
            </w:r>
            <w:r w:rsidR="000C6D26">
              <w:rPr>
                <w:rFonts w:ascii="Verdana" w:hAnsi="Verdana"/>
                <w:color w:val="333333"/>
                <w:sz w:val="20"/>
                <w:szCs w:val="20"/>
                <w:shd w:val="clear" w:color="auto" w:fill="FFFFFF"/>
              </w:rPr>
              <w:t>NOAA</w:t>
            </w:r>
            <w:r w:rsidR="000C6D26" w:rsidRPr="000C6D26">
              <w:rPr>
                <w:rFonts w:ascii="Verdana" w:hAnsi="Verdana"/>
                <w:color w:val="333333"/>
                <w:sz w:val="20"/>
                <w:szCs w:val="20"/>
                <w:shd w:val="clear" w:color="auto" w:fill="FFFFFF"/>
              </w:rPr>
              <w:t xml:space="preserve"> finalized development of the supplementary information, such as trend analysis, temporal analysis and confidence intervals, and documentation.</w:t>
            </w:r>
          </w:p>
          <w:p w14:paraId="7C0549F1" w14:textId="77777777" w:rsidR="006C303A" w:rsidRDefault="006C303A" w:rsidP="000170B0">
            <w:pPr>
              <w:ind w:right="-14"/>
              <w:rPr>
                <w:rFonts w:ascii="Verdana" w:hAnsi="Verdana"/>
                <w:color w:val="333333"/>
                <w:sz w:val="20"/>
                <w:szCs w:val="20"/>
                <w:shd w:val="clear" w:color="auto" w:fill="FFFFFF"/>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 xml:space="preserve">on the status of the Atlas 14, Volume 12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0170B0">
        <w:tc>
          <w:tcPr>
            <w:tcW w:w="10908" w:type="dxa"/>
            <w:vAlign w:val="center"/>
          </w:tcPr>
          <w:p w14:paraId="15524148" w14:textId="77777777" w:rsidR="00E35E0F" w:rsidRDefault="00E35E0F" w:rsidP="000170B0">
            <w:pPr>
              <w:ind w:right="-720"/>
              <w:rPr>
                <w:rFonts w:ascii="Arial" w:hAnsi="Arial" w:cs="Arial"/>
                <w:b/>
                <w:sz w:val="20"/>
                <w:szCs w:val="20"/>
              </w:rPr>
            </w:pPr>
          </w:p>
          <w:p w14:paraId="0F9F34B6" w14:textId="77777777" w:rsidR="00601EBD" w:rsidRDefault="00601EBD" w:rsidP="000170B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0170B0">
            <w:pPr>
              <w:ind w:right="-720"/>
              <w:rPr>
                <w:rFonts w:ascii="Arial" w:hAnsi="Arial" w:cs="Arial"/>
                <w:sz w:val="20"/>
                <w:szCs w:val="20"/>
              </w:rPr>
            </w:pPr>
          </w:p>
          <w:p w14:paraId="0A24F2AC" w14:textId="1EB45417" w:rsidR="000C6D26" w:rsidRPr="00F72317" w:rsidRDefault="000C6D26" w:rsidP="000C6D26">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 project was completed this quarter, anticipated work in next quarter will include TPF project closeout and some minor revisions to Section 5 </w:t>
            </w:r>
            <w:r w:rsidRPr="000C6D26">
              <w:rPr>
                <w:rFonts w:ascii="Verdana" w:hAnsi="Verdana"/>
                <w:color w:val="333333"/>
                <w:sz w:val="20"/>
                <w:szCs w:val="20"/>
                <w:shd w:val="clear" w:color="auto" w:fill="FFFFFF"/>
              </w:rPr>
              <w:t>of the NOAA Atlas 14 documentation</w:t>
            </w:r>
            <w:r>
              <w:rPr>
                <w:rFonts w:ascii="Verdana" w:hAnsi="Verdana"/>
                <w:color w:val="333333"/>
                <w:sz w:val="20"/>
                <w:szCs w:val="20"/>
                <w:shd w:val="clear" w:color="auto" w:fill="FFFFFF"/>
              </w:rPr>
              <w:t>.</w:t>
            </w:r>
            <w:r w:rsidRPr="000C6D26">
              <w:rPr>
                <w:rFonts w:ascii="Verdana" w:hAnsi="Verdana"/>
                <w:color w:val="333333"/>
                <w:sz w:val="20"/>
                <w:szCs w:val="20"/>
                <w:shd w:val="clear" w:color="auto" w:fill="FFFFFF"/>
              </w:rPr>
              <w:t xml:space="preserve"> </w:t>
            </w:r>
          </w:p>
          <w:p w14:paraId="3A8F1FE2" w14:textId="467E53ED" w:rsidR="006C303A" w:rsidRDefault="006C303A" w:rsidP="006C303A">
            <w:pPr>
              <w:ind w:right="-14"/>
            </w:pPr>
          </w:p>
          <w:p w14:paraId="0E25F348" w14:textId="78948967" w:rsidR="00F72317" w:rsidRDefault="00F72317" w:rsidP="006C303A">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p w14:paraId="10ACEDAC" w14:textId="77777777" w:rsidR="003A590F" w:rsidRDefault="003A590F">
      <w:r>
        <w:br w:type="page"/>
      </w: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3709DE96"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96764B6" w14:textId="77777777" w:rsidR="000170B0" w:rsidRDefault="000170B0" w:rsidP="000001F3">
            <w:pPr>
              <w:ind w:right="-14"/>
              <w:rPr>
                <w:rFonts w:cstheme="minorHAnsi"/>
                <w:color w:val="333333"/>
                <w:shd w:val="clear" w:color="auto" w:fill="FFFFFF"/>
              </w:rPr>
            </w:pPr>
          </w:p>
          <w:p w14:paraId="314AAD91" w14:textId="12E07E7D" w:rsidR="00F72317" w:rsidRDefault="000C6D26" w:rsidP="003A590F">
            <w:pPr>
              <w:ind w:right="-14"/>
              <w:rPr>
                <w:rFonts w:ascii="Verdana" w:hAnsi="Verdana"/>
                <w:color w:val="333333"/>
                <w:sz w:val="20"/>
                <w:szCs w:val="20"/>
                <w:shd w:val="clear" w:color="auto" w:fill="FFFFFF"/>
              </w:rPr>
            </w:pPr>
            <w:r w:rsidRPr="000C6D26">
              <w:rPr>
                <w:rFonts w:ascii="Verdana" w:hAnsi="Verdana"/>
                <w:b/>
                <w:bCs/>
                <w:color w:val="333333"/>
                <w:sz w:val="20"/>
                <w:szCs w:val="20"/>
                <w:shd w:val="clear" w:color="auto" w:fill="FFFFFF"/>
              </w:rPr>
              <w:t>Finalization of spatially interpolated precipitation frequency estimates</w:t>
            </w:r>
            <w:r>
              <w:rPr>
                <w:rFonts w:ascii="Verdana" w:hAnsi="Verdana"/>
                <w:b/>
                <w:bCs/>
                <w:color w:val="333333"/>
                <w:sz w:val="20"/>
                <w:szCs w:val="20"/>
                <w:shd w:val="clear" w:color="auto" w:fill="FFFFFF"/>
              </w:rPr>
              <w:t xml:space="preserve"> </w:t>
            </w:r>
            <w:r w:rsidR="00F72317" w:rsidRPr="00F72317">
              <w:rPr>
                <w:rFonts w:ascii="Verdana" w:hAnsi="Verdana"/>
                <w:color w:val="333333"/>
                <w:sz w:val="20"/>
                <w:szCs w:val="20"/>
                <w:shd w:val="clear" w:color="auto" w:fill="FFFFFF"/>
              </w:rPr>
              <w:t xml:space="preserve">- </w:t>
            </w:r>
            <w:r w:rsidRPr="000C6D26">
              <w:rPr>
                <w:rFonts w:ascii="Verdana" w:hAnsi="Verdana"/>
                <w:color w:val="333333"/>
                <w:sz w:val="20"/>
                <w:szCs w:val="20"/>
                <w:shd w:val="clear" w:color="auto" w:fill="FFFFFF"/>
              </w:rPr>
              <w:t>During this reporting period</w:t>
            </w:r>
            <w:r>
              <w:rPr>
                <w:rFonts w:ascii="Verdana" w:hAnsi="Verdana"/>
                <w:color w:val="333333"/>
                <w:sz w:val="20"/>
                <w:szCs w:val="20"/>
                <w:shd w:val="clear" w:color="auto" w:fill="FFFFFF"/>
              </w:rPr>
              <w:t>, NOAA</w:t>
            </w:r>
            <w:r w:rsidRPr="000C6D26">
              <w:rPr>
                <w:rFonts w:ascii="Verdana" w:hAnsi="Verdana"/>
                <w:color w:val="333333"/>
                <w:sz w:val="20"/>
                <w:szCs w:val="20"/>
                <w:shd w:val="clear" w:color="auto" w:fill="FFFFFF"/>
              </w:rPr>
              <w:t xml:space="preserve"> finalized spatial patterns for the 2-year, 100-year and 1000-year grids across all durations, and revisited and improved at-station and regional estimates where needed. Corresponding depth-duration frequency curves were adjusted to ensure consistent transition between durations and return periods. The resulting adjustments were then carried through to other recurrence intervals in an iterative process. Typically, several iterations are required to ensure realistic spatial patterns and consistency in gridded estimates for 13 selected durations from 1 hour to 60 days (1-hr, 2-hr, 3-hr, 6-hr, 12-hr, 24-hr, 2-day, 4-day, 7-day, 20-day, 30-day, 45-day and 60-day). To ensure consistency in grid cell values across all durations and frequencies (e.g., a 24-hour estimate has to be at least equal to the corresponding 12-hour estimate), </w:t>
            </w:r>
            <w:r>
              <w:rPr>
                <w:rFonts w:ascii="Verdana" w:hAnsi="Verdana"/>
                <w:color w:val="333333"/>
                <w:sz w:val="20"/>
                <w:szCs w:val="20"/>
                <w:shd w:val="clear" w:color="auto" w:fill="FFFFFF"/>
              </w:rPr>
              <w:t>NOAA</w:t>
            </w:r>
            <w:r w:rsidRPr="000C6D26">
              <w:rPr>
                <w:rFonts w:ascii="Verdana" w:hAnsi="Verdana"/>
                <w:color w:val="333333"/>
                <w:sz w:val="20"/>
                <w:szCs w:val="20"/>
                <w:shd w:val="clear" w:color="auto" w:fill="FFFFFF"/>
              </w:rPr>
              <w:t xml:space="preserve"> also conducted duration-based internal consistency checks across durations and frequencies.</w:t>
            </w:r>
          </w:p>
          <w:p w14:paraId="1A652EEF" w14:textId="77777777" w:rsidR="00F72317" w:rsidRDefault="00F72317" w:rsidP="003A590F">
            <w:pPr>
              <w:ind w:right="-14"/>
              <w:rPr>
                <w:rFonts w:ascii="Verdana" w:hAnsi="Verdana"/>
                <w:color w:val="333333"/>
                <w:sz w:val="20"/>
                <w:szCs w:val="20"/>
                <w:shd w:val="clear" w:color="auto" w:fill="FFFFFF"/>
              </w:rPr>
            </w:pPr>
          </w:p>
          <w:p w14:paraId="7A07FDDA" w14:textId="77777777" w:rsidR="000C6D26" w:rsidRDefault="000C6D26" w:rsidP="000C6D26">
            <w:pPr>
              <w:ind w:right="-14"/>
              <w:rPr>
                <w:rFonts w:ascii="Verdana" w:hAnsi="Verdana"/>
                <w:color w:val="333333"/>
                <w:sz w:val="20"/>
                <w:szCs w:val="20"/>
                <w:shd w:val="clear" w:color="auto" w:fill="FFFFFF"/>
              </w:rPr>
            </w:pPr>
            <w:r>
              <w:rPr>
                <w:rFonts w:ascii="Verdana" w:hAnsi="Verdana"/>
                <w:b/>
                <w:bCs/>
                <w:color w:val="333333"/>
                <w:sz w:val="20"/>
                <w:szCs w:val="20"/>
                <w:shd w:val="clear" w:color="auto" w:fill="FFFFFF"/>
              </w:rPr>
              <w:t>Documentation</w:t>
            </w:r>
            <w:r w:rsidR="00F72317" w:rsidRPr="00F72317">
              <w:rPr>
                <w:rFonts w:ascii="Verdana" w:hAnsi="Verdana"/>
                <w:b/>
                <w:bCs/>
                <w:color w:val="333333"/>
                <w:sz w:val="20"/>
                <w:szCs w:val="20"/>
                <w:shd w:val="clear" w:color="auto" w:fill="FFFFFF"/>
              </w:rPr>
              <w:t xml:space="preserve"> - </w:t>
            </w:r>
            <w:r w:rsidRPr="000C6D26">
              <w:rPr>
                <w:rFonts w:ascii="Verdana" w:hAnsi="Verdana"/>
                <w:color w:val="333333"/>
                <w:sz w:val="20"/>
                <w:szCs w:val="20"/>
                <w:shd w:val="clear" w:color="auto" w:fill="FFFFFF"/>
              </w:rPr>
              <w:t xml:space="preserve">During this reporting period, </w:t>
            </w:r>
            <w:r>
              <w:rPr>
                <w:rFonts w:ascii="Verdana" w:hAnsi="Verdana"/>
                <w:color w:val="333333"/>
                <w:sz w:val="20"/>
                <w:szCs w:val="20"/>
                <w:shd w:val="clear" w:color="auto" w:fill="FFFFFF"/>
              </w:rPr>
              <w:t>NOAA</w:t>
            </w:r>
            <w:r w:rsidRPr="000C6D26">
              <w:rPr>
                <w:rFonts w:ascii="Verdana" w:hAnsi="Verdana"/>
                <w:color w:val="333333"/>
                <w:sz w:val="20"/>
                <w:szCs w:val="20"/>
                <w:shd w:val="clear" w:color="auto" w:fill="FFFFFF"/>
              </w:rPr>
              <w:t xml:space="preserve"> completed work on the Atlas 14 Volume 12 Version 2 documentation which is available for download here: https://www.weather.gov/media/owp/oh/hdsc/docs/Atlas14_Volume12.pdf. </w:t>
            </w:r>
          </w:p>
          <w:p w14:paraId="37D3E4E1" w14:textId="77777777" w:rsidR="000C6D26" w:rsidRDefault="000C6D26" w:rsidP="000C6D26">
            <w:pPr>
              <w:ind w:right="-14"/>
              <w:rPr>
                <w:rFonts w:ascii="Verdana" w:hAnsi="Verdana"/>
                <w:color w:val="333333"/>
                <w:sz w:val="20"/>
                <w:szCs w:val="20"/>
                <w:shd w:val="clear" w:color="auto" w:fill="FFFFFF"/>
              </w:rPr>
            </w:pPr>
          </w:p>
          <w:p w14:paraId="6D55B20A" w14:textId="436B65C7" w:rsidR="00F72317" w:rsidRDefault="000C6D26" w:rsidP="000C6D26">
            <w:pPr>
              <w:ind w:right="-14"/>
              <w:rPr>
                <w:rFonts w:ascii="Verdana" w:hAnsi="Verdana"/>
                <w:color w:val="333333"/>
                <w:sz w:val="20"/>
                <w:szCs w:val="20"/>
                <w:shd w:val="clear" w:color="auto" w:fill="FFFFFF"/>
              </w:rPr>
            </w:pPr>
            <w:r w:rsidRPr="000C6D26">
              <w:rPr>
                <w:rFonts w:ascii="Verdana" w:hAnsi="Verdana"/>
                <w:color w:val="333333"/>
                <w:sz w:val="20"/>
                <w:szCs w:val="20"/>
                <w:shd w:val="clear" w:color="auto" w:fill="FFFFFF"/>
              </w:rPr>
              <w:t>The documentation is similar in layout, coverage and depth to documentation prepared for previous NOAA Atlas 14 volumes. It describes all aspects of the development of each artifact in sufficient depth to allow the knowledgeable user to understand the basis of the estimates and their scope and applicability. It also includes information on the comments received during the peer review process and HDSC follow-up actions (see Appendix 5),</w:t>
            </w:r>
            <w:r>
              <w:rPr>
                <w:rFonts w:ascii="Verdana" w:hAnsi="Verdana"/>
                <w:color w:val="333333"/>
                <w:sz w:val="20"/>
                <w:szCs w:val="20"/>
                <w:shd w:val="clear" w:color="auto" w:fill="FFFFFF"/>
              </w:rPr>
              <w:t xml:space="preserve"> </w:t>
            </w:r>
            <w:r w:rsidRPr="000C6D26">
              <w:rPr>
                <w:rFonts w:ascii="Verdana" w:hAnsi="Verdana"/>
                <w:color w:val="333333"/>
                <w:sz w:val="20"/>
                <w:szCs w:val="20"/>
                <w:shd w:val="clear" w:color="auto" w:fill="FFFFFF"/>
              </w:rPr>
              <w:t>and relates current NOAA Atlas 14 estimates with corresponding estimates from superseded NOAA publications (Section 7).</w:t>
            </w:r>
          </w:p>
          <w:p w14:paraId="77786B2B" w14:textId="77777777" w:rsidR="00F72317" w:rsidRDefault="00F72317" w:rsidP="003A590F">
            <w:pPr>
              <w:ind w:right="-14"/>
              <w:rPr>
                <w:rFonts w:ascii="Verdana" w:hAnsi="Verdana"/>
                <w:color w:val="333333"/>
                <w:sz w:val="20"/>
                <w:szCs w:val="20"/>
                <w:shd w:val="clear" w:color="auto" w:fill="FFFFFF"/>
              </w:rPr>
            </w:pPr>
          </w:p>
          <w:p w14:paraId="59772F79" w14:textId="1F05AA03" w:rsidR="00F72317" w:rsidRPr="00F72317" w:rsidRDefault="00F72317" w:rsidP="003A590F">
            <w:pPr>
              <w:ind w:right="-14"/>
              <w:rPr>
                <w:rFonts w:ascii="Verdana" w:hAnsi="Verdana"/>
                <w:color w:val="333333"/>
                <w:sz w:val="20"/>
                <w:szCs w:val="20"/>
                <w:shd w:val="clear" w:color="auto" w:fill="FFFFFF"/>
              </w:rPr>
            </w:pPr>
            <w:r w:rsidRPr="00F72317">
              <w:rPr>
                <w:rFonts w:ascii="Verdana" w:hAnsi="Verdana"/>
                <w:b/>
                <w:bCs/>
                <w:color w:val="333333"/>
                <w:sz w:val="20"/>
                <w:szCs w:val="20"/>
                <w:shd w:val="clear" w:color="auto" w:fill="FFFFFF"/>
              </w:rPr>
              <w:t>Development of PFDS web pages for Volume 12</w:t>
            </w:r>
            <w:r>
              <w:t xml:space="preserve"> </w:t>
            </w:r>
            <w:r>
              <w:t xml:space="preserve">- </w:t>
            </w:r>
            <w:r w:rsidR="000C6D26" w:rsidRPr="000C6D26">
              <w:rPr>
                <w:rFonts w:ascii="Verdana" w:hAnsi="Verdana"/>
                <w:color w:val="333333"/>
                <w:sz w:val="20"/>
                <w:szCs w:val="20"/>
                <w:shd w:val="clear" w:color="auto" w:fill="FFFFFF"/>
              </w:rPr>
              <w:t>Precipitation frequency estimates for the Interior Northwest with supplementary products were published as NOAA Atlas 14 Volume 12 Version 2 on September 19, 2024. All NOAA Atlas 14 Volume 12 products are available for download from the PFDS page for the Interior Northwest</w:t>
            </w:r>
            <w:r w:rsidR="000C6D26">
              <w:rPr>
                <w:rFonts w:ascii="Verdana" w:hAnsi="Verdana"/>
                <w:color w:val="333333"/>
                <w:sz w:val="20"/>
                <w:szCs w:val="20"/>
                <w:shd w:val="clear" w:color="auto" w:fill="FFFFFF"/>
              </w:rPr>
              <w:t xml:space="preserve">. </w:t>
            </w:r>
            <w:r w:rsidR="000C6D26" w:rsidRPr="000C6D26">
              <w:rPr>
                <w:rFonts w:ascii="Verdana" w:hAnsi="Verdana"/>
                <w:color w:val="333333"/>
                <w:sz w:val="20"/>
                <w:szCs w:val="20"/>
                <w:shd w:val="clear" w:color="auto" w:fill="FFFFFF"/>
              </w:rPr>
              <w:t>Section 5 of the NOAA Atlas 14 documentation provides additional information on the underlying data and functioning of the PFDS. Section 5 will be updated over the next reporting period.</w:t>
            </w:r>
          </w:p>
          <w:p w14:paraId="7F0F0920" w14:textId="77777777" w:rsidR="00F72317" w:rsidRDefault="00F72317" w:rsidP="003A590F">
            <w:pPr>
              <w:ind w:right="-14"/>
              <w:rPr>
                <w:rFonts w:ascii="Verdana" w:hAnsi="Verdana"/>
                <w:color w:val="333333"/>
                <w:sz w:val="20"/>
                <w:szCs w:val="20"/>
                <w:shd w:val="clear" w:color="auto" w:fill="FFFFFF"/>
              </w:rPr>
            </w:pPr>
          </w:p>
          <w:p w14:paraId="149BC12A" w14:textId="6056EE62" w:rsidR="006C303A" w:rsidRDefault="006C303A" w:rsidP="00F72317">
            <w:pPr>
              <w:ind w:right="-14"/>
              <w:rPr>
                <w:rFonts w:ascii="Arial" w:hAnsi="Arial" w:cs="Arial"/>
                <w:b/>
                <w:sz w:val="20"/>
                <w:szCs w:val="20"/>
              </w:rPr>
            </w:pPr>
          </w:p>
        </w:tc>
      </w:tr>
      <w:tr w:rsidR="00601EBD" w14:paraId="381B6096" w14:textId="77777777" w:rsidTr="00601EBD">
        <w:tc>
          <w:tcPr>
            <w:tcW w:w="10908" w:type="dxa"/>
          </w:tcPr>
          <w:p w14:paraId="084D2F57" w14:textId="77777777" w:rsidR="00F72317" w:rsidRDefault="00F72317" w:rsidP="00551D8A">
            <w:pPr>
              <w:ind w:right="-720"/>
              <w:rPr>
                <w:rFonts w:ascii="Arial" w:hAnsi="Arial" w:cs="Arial"/>
                <w:b/>
                <w:sz w:val="20"/>
                <w:szCs w:val="20"/>
              </w:rPr>
            </w:pPr>
          </w:p>
          <w:p w14:paraId="5B8C0F33" w14:textId="003B9198"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533348A1" w14:textId="77777777" w:rsidR="00601EBD" w:rsidRDefault="00601EBD" w:rsidP="00551D8A">
            <w:pPr>
              <w:ind w:right="-720"/>
              <w:rPr>
                <w:rFonts w:ascii="Arial" w:hAnsi="Arial" w:cs="Arial"/>
                <w:b/>
                <w:sz w:val="20"/>
                <w:szCs w:val="20"/>
              </w:rPr>
            </w:pPr>
          </w:p>
          <w:p w14:paraId="754478DE" w14:textId="070ABB71" w:rsidR="00753770" w:rsidRPr="00391DD0"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r w:rsidR="00753770" w:rsidRPr="00753770">
              <w:rPr>
                <w:rFonts w:ascii="Verdana" w:hAnsi="Verdana"/>
                <w:color w:val="333333"/>
                <w:sz w:val="20"/>
                <w:szCs w:val="20"/>
                <w:shd w:val="clear" w:color="auto" w:fill="FFFFFF"/>
              </w:rPr>
              <w:t>NOAA has faced delays in the availability of existing personnel to commit to the project. The project milestone schedule has been updated and completion of the project has been delayed from Q4 of 2023 to Q</w:t>
            </w:r>
            <w:r w:rsidR="00F72317">
              <w:rPr>
                <w:rFonts w:ascii="Verdana" w:hAnsi="Verdana"/>
                <w:color w:val="333333"/>
                <w:sz w:val="20"/>
                <w:szCs w:val="20"/>
                <w:shd w:val="clear" w:color="auto" w:fill="FFFFFF"/>
              </w:rPr>
              <w:t>3</w:t>
            </w:r>
            <w:r w:rsidR="00753770" w:rsidRPr="00753770">
              <w:rPr>
                <w:rFonts w:ascii="Verdana" w:hAnsi="Verdana"/>
                <w:color w:val="333333"/>
                <w:sz w:val="20"/>
                <w:szCs w:val="20"/>
                <w:shd w:val="clear" w:color="auto" w:fill="FFFFFF"/>
              </w:rPr>
              <w:t xml:space="preserve"> of 2024.</w:t>
            </w:r>
          </w:p>
          <w:p w14:paraId="27FD67BE" w14:textId="66D92C17" w:rsidR="00601EBD" w:rsidRPr="000170B0" w:rsidRDefault="00601EBD" w:rsidP="000170B0">
            <w:pPr>
              <w:ind w:right="-14"/>
              <w:rPr>
                <w:rFonts w:ascii="Verdana" w:hAnsi="Verdana"/>
                <w:color w:val="333333"/>
                <w:sz w:val="20"/>
                <w:szCs w:val="20"/>
                <w:shd w:val="clear" w:color="auto" w:fill="FFFFFF"/>
              </w:rPr>
            </w:pPr>
          </w:p>
          <w:p w14:paraId="347D4FC3" w14:textId="2C554926" w:rsid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Current Schedule</w:t>
            </w:r>
            <w:r>
              <w:rPr>
                <w:rFonts w:ascii="Verdana" w:hAnsi="Verdana"/>
                <w:color w:val="333333"/>
                <w:sz w:val="20"/>
                <w:szCs w:val="20"/>
                <w:shd w:val="clear" w:color="auto" w:fill="FFFFFF"/>
              </w:rPr>
              <w:t>:</w:t>
            </w:r>
          </w:p>
          <w:p w14:paraId="5745725C" w14:textId="1AF00FFD"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Data collection, formatting, and initial quality control [Completed]</w:t>
            </w:r>
          </w:p>
          <w:p w14:paraId="1C0C3324" w14:textId="77777777"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Extraction of annual maximum series (AMS); additional quality control and data reliability tests (e.g., outliers, independence, consistency across durations, duplicate stations, candidates for merging)] [Completed] </w:t>
            </w:r>
          </w:p>
          <w:p w14:paraId="357CD0E1" w14:textId="451B8486"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Regionalization and frequency analysis [Completed] </w:t>
            </w:r>
          </w:p>
          <w:p w14:paraId="3676DB38" w14:textId="39BDE589"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Initial spatial interpolation of precipitation frequency (PF) estimates and consistency checks across durations [Completed] </w:t>
            </w:r>
          </w:p>
          <w:p w14:paraId="7E70F33B" w14:textId="6CDA99A8"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Peer review [</w:t>
            </w:r>
            <w:r w:rsidR="006C303A" w:rsidRPr="006C303A">
              <w:rPr>
                <w:rFonts w:ascii="Verdana" w:hAnsi="Verdana"/>
                <w:i/>
                <w:iCs/>
                <w:color w:val="333333"/>
                <w:sz w:val="20"/>
                <w:szCs w:val="20"/>
                <w:shd w:val="clear" w:color="auto" w:fill="FFFFFF"/>
              </w:rPr>
              <w:t>Completed</w:t>
            </w:r>
            <w:r w:rsidRPr="006C303A">
              <w:rPr>
                <w:rFonts w:ascii="Verdana" w:hAnsi="Verdana"/>
                <w:i/>
                <w:iCs/>
                <w:color w:val="333333"/>
                <w:sz w:val="20"/>
                <w:szCs w:val="20"/>
                <w:shd w:val="clear" w:color="auto" w:fill="FFFFFF"/>
              </w:rPr>
              <w:t xml:space="preserve">] </w:t>
            </w:r>
          </w:p>
          <w:p w14:paraId="2417875D" w14:textId="1CCF0D17" w:rsidR="000170B0" w:rsidRPr="000C6D26" w:rsidRDefault="000170B0" w:rsidP="000170B0">
            <w:pPr>
              <w:pStyle w:val="ListParagraph"/>
              <w:numPr>
                <w:ilvl w:val="0"/>
                <w:numId w:val="3"/>
              </w:numPr>
              <w:ind w:right="-14"/>
              <w:rPr>
                <w:rFonts w:ascii="Verdana" w:hAnsi="Verdana"/>
                <w:i/>
                <w:iCs/>
                <w:color w:val="333333"/>
                <w:sz w:val="20"/>
                <w:szCs w:val="20"/>
                <w:shd w:val="clear" w:color="auto" w:fill="FFFFFF"/>
              </w:rPr>
            </w:pPr>
            <w:r w:rsidRPr="000C6D26">
              <w:rPr>
                <w:rFonts w:ascii="Verdana" w:hAnsi="Verdana"/>
                <w:i/>
                <w:iCs/>
                <w:color w:val="333333"/>
                <w:sz w:val="20"/>
                <w:szCs w:val="20"/>
                <w:shd w:val="clear" w:color="auto" w:fill="FFFFFF"/>
              </w:rPr>
              <w:t>Revision of PF estimates [</w:t>
            </w:r>
            <w:r w:rsidR="000C6D26" w:rsidRPr="000C6D26">
              <w:rPr>
                <w:rFonts w:ascii="Verdana" w:hAnsi="Verdana"/>
                <w:i/>
                <w:iCs/>
                <w:color w:val="333333"/>
                <w:sz w:val="20"/>
                <w:szCs w:val="20"/>
                <w:shd w:val="clear" w:color="auto" w:fill="FFFFFF"/>
              </w:rPr>
              <w:t>Completed</w:t>
            </w:r>
            <w:r w:rsidRPr="000C6D26">
              <w:rPr>
                <w:rFonts w:ascii="Verdana" w:hAnsi="Verdana"/>
                <w:i/>
                <w:iCs/>
                <w:color w:val="333333"/>
                <w:sz w:val="20"/>
                <w:szCs w:val="20"/>
                <w:shd w:val="clear" w:color="auto" w:fill="FFFFFF"/>
              </w:rPr>
              <w:t xml:space="preserve">] </w:t>
            </w:r>
          </w:p>
          <w:p w14:paraId="5A6140BD" w14:textId="3233F78E" w:rsidR="000170B0" w:rsidRPr="000C6D26" w:rsidRDefault="000170B0" w:rsidP="000170B0">
            <w:pPr>
              <w:pStyle w:val="ListParagraph"/>
              <w:numPr>
                <w:ilvl w:val="0"/>
                <w:numId w:val="3"/>
              </w:numPr>
              <w:ind w:right="-14"/>
              <w:rPr>
                <w:rFonts w:ascii="Verdana" w:hAnsi="Verdana"/>
                <w:i/>
                <w:iCs/>
                <w:color w:val="333333"/>
                <w:sz w:val="20"/>
                <w:szCs w:val="20"/>
                <w:shd w:val="clear" w:color="auto" w:fill="FFFFFF"/>
              </w:rPr>
            </w:pPr>
            <w:r w:rsidRPr="000C6D26">
              <w:rPr>
                <w:rFonts w:ascii="Verdana" w:hAnsi="Verdana"/>
                <w:i/>
                <w:iCs/>
                <w:color w:val="333333"/>
                <w:sz w:val="20"/>
                <w:szCs w:val="20"/>
                <w:shd w:val="clear" w:color="auto" w:fill="FFFFFF"/>
              </w:rPr>
              <w:t>Remaining tasks (e.g., development of precipitation frequency estimates for partial duration series, seasonality, temporal distributions, documentation) [</w:t>
            </w:r>
            <w:r w:rsidR="000C6D26" w:rsidRPr="000C6D26">
              <w:rPr>
                <w:rFonts w:ascii="Verdana" w:hAnsi="Verdana"/>
                <w:i/>
                <w:iCs/>
                <w:color w:val="333333"/>
                <w:sz w:val="20"/>
                <w:szCs w:val="20"/>
                <w:shd w:val="clear" w:color="auto" w:fill="FFFFFF"/>
              </w:rPr>
              <w:t>Completed</w:t>
            </w:r>
            <w:r w:rsidRPr="000C6D26">
              <w:rPr>
                <w:rFonts w:ascii="Verdana" w:hAnsi="Verdana"/>
                <w:i/>
                <w:iCs/>
                <w:color w:val="333333"/>
                <w:sz w:val="20"/>
                <w:szCs w:val="20"/>
                <w:shd w:val="clear" w:color="auto" w:fill="FFFFFF"/>
              </w:rPr>
              <w:t xml:space="preserve">] </w:t>
            </w:r>
          </w:p>
          <w:p w14:paraId="5EE4033B" w14:textId="322DFB27" w:rsidR="000170B0" w:rsidRPr="000C6D26" w:rsidRDefault="000170B0" w:rsidP="000170B0">
            <w:pPr>
              <w:pStyle w:val="ListParagraph"/>
              <w:numPr>
                <w:ilvl w:val="0"/>
                <w:numId w:val="3"/>
              </w:numPr>
              <w:ind w:right="-14"/>
              <w:rPr>
                <w:rFonts w:ascii="Verdana" w:hAnsi="Verdana"/>
                <w:i/>
                <w:iCs/>
                <w:color w:val="333333"/>
                <w:sz w:val="20"/>
                <w:szCs w:val="20"/>
                <w:shd w:val="clear" w:color="auto" w:fill="FFFFFF"/>
              </w:rPr>
            </w:pPr>
            <w:r w:rsidRPr="000C6D26">
              <w:rPr>
                <w:rFonts w:ascii="Verdana" w:hAnsi="Verdana"/>
                <w:i/>
                <w:iCs/>
                <w:color w:val="333333"/>
                <w:sz w:val="20"/>
                <w:szCs w:val="20"/>
                <w:shd w:val="clear" w:color="auto" w:fill="FFFFFF"/>
              </w:rPr>
              <w:t>Web publication [</w:t>
            </w:r>
            <w:r w:rsidR="000C6D26" w:rsidRPr="000C6D26">
              <w:rPr>
                <w:rFonts w:ascii="Verdana" w:hAnsi="Verdana"/>
                <w:i/>
                <w:iCs/>
                <w:color w:val="333333"/>
                <w:sz w:val="20"/>
                <w:szCs w:val="20"/>
                <w:shd w:val="clear" w:color="auto" w:fill="FFFFFF"/>
              </w:rPr>
              <w:t>Completed</w:t>
            </w:r>
            <w:r w:rsidRPr="000C6D26">
              <w:rPr>
                <w:rFonts w:ascii="Verdana" w:hAnsi="Verdana"/>
                <w:i/>
                <w:iCs/>
                <w:color w:val="333333"/>
                <w:sz w:val="20"/>
                <w:szCs w:val="20"/>
                <w:shd w:val="clear" w:color="auto" w:fill="FFFFFF"/>
              </w:rPr>
              <w:t>]</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58AB844" w14:textId="77777777" w:rsidR="00F84086" w:rsidRDefault="00F84086" w:rsidP="00F84086">
            <w:pPr>
              <w:ind w:right="-14"/>
              <w:rPr>
                <w:rFonts w:ascii="Verdana" w:hAnsi="Verdana"/>
                <w:color w:val="333333"/>
                <w:sz w:val="20"/>
                <w:szCs w:val="20"/>
                <w:shd w:val="clear" w:color="auto" w:fill="FFFFFF"/>
              </w:rPr>
            </w:pPr>
          </w:p>
          <w:p w14:paraId="49E74EA4" w14:textId="2146F3C3" w:rsidR="00F84086" w:rsidRPr="00F84086" w:rsidRDefault="00F84086" w:rsidP="00F84086">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Precipitation</w:t>
            </w:r>
            <w:r w:rsidRPr="000C6D26">
              <w:rPr>
                <w:rFonts w:ascii="Verdana" w:hAnsi="Verdana"/>
                <w:color w:val="333333"/>
                <w:sz w:val="20"/>
                <w:szCs w:val="20"/>
                <w:shd w:val="clear" w:color="auto" w:fill="FFFFFF"/>
              </w:rPr>
              <w:t xml:space="preserve"> frequency estimates for the Interior Northwest with supplementary products were published</w:t>
            </w:r>
            <w:r>
              <w:rPr>
                <w:rFonts w:ascii="Verdana" w:hAnsi="Verdana"/>
                <w:color w:val="333333"/>
                <w:sz w:val="20"/>
                <w:szCs w:val="20"/>
                <w:shd w:val="clear" w:color="auto" w:fill="FFFFFF"/>
              </w:rPr>
              <w:t xml:space="preserve"> as </w:t>
            </w:r>
            <w:r w:rsidRPr="000C6D26">
              <w:rPr>
                <w:rFonts w:ascii="Verdana" w:hAnsi="Verdana"/>
                <w:color w:val="333333"/>
                <w:sz w:val="20"/>
                <w:szCs w:val="20"/>
                <w:shd w:val="clear" w:color="auto" w:fill="FFFFFF"/>
              </w:rPr>
              <w:t>Atlas 14 Volume 12 Version 2 on September 19, 2024.</w:t>
            </w:r>
            <w:r>
              <w:rPr>
                <w:rFonts w:ascii="Verdana" w:hAnsi="Verdana"/>
                <w:color w:val="333333"/>
                <w:sz w:val="20"/>
                <w:szCs w:val="20"/>
                <w:shd w:val="clear" w:color="auto" w:fill="FFFFFF"/>
              </w:rPr>
              <w:t xml:space="preserve"> </w:t>
            </w:r>
            <w:r w:rsidRPr="000C6D26">
              <w:rPr>
                <w:rFonts w:ascii="Verdana" w:hAnsi="Verdana"/>
                <w:color w:val="333333"/>
                <w:sz w:val="20"/>
                <w:szCs w:val="20"/>
                <w:shd w:val="clear" w:color="auto" w:fill="FFFFFF"/>
              </w:rPr>
              <w:t>All NOAA Atlas 14 Volume 12 products are available for download from the PFDS page for the Interior Northwest</w:t>
            </w:r>
          </w:p>
          <w:p w14:paraId="688AA752" w14:textId="77777777" w:rsidR="00E35E0F" w:rsidRDefault="00E35E0F" w:rsidP="00F84086">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8BE7C" w14:textId="77777777" w:rsidR="00AA2E81" w:rsidRDefault="00AA2E81" w:rsidP="00106C83">
      <w:pPr>
        <w:spacing w:after="0" w:line="240" w:lineRule="auto"/>
      </w:pPr>
      <w:r>
        <w:separator/>
      </w:r>
    </w:p>
  </w:endnote>
  <w:endnote w:type="continuationSeparator" w:id="0">
    <w:p w14:paraId="07785648" w14:textId="77777777" w:rsidR="00AA2E81" w:rsidRDefault="00AA2E8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C357D" w14:textId="77777777" w:rsidR="00AA2E81" w:rsidRDefault="00AA2E81" w:rsidP="00106C83">
      <w:pPr>
        <w:spacing w:after="0" w:line="240" w:lineRule="auto"/>
      </w:pPr>
      <w:r>
        <w:separator/>
      </w:r>
    </w:p>
  </w:footnote>
  <w:footnote w:type="continuationSeparator" w:id="0">
    <w:p w14:paraId="317A3789" w14:textId="77777777" w:rsidR="00AA2E81" w:rsidRDefault="00AA2E8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E43AA"/>
    <w:multiLevelType w:val="hybridMultilevel"/>
    <w:tmpl w:val="3F12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1786">
    <w:abstractNumId w:val="1"/>
  </w:num>
  <w:num w:numId="2" w16cid:durableId="1993410295">
    <w:abstractNumId w:val="2"/>
  </w:num>
  <w:num w:numId="3" w16cid:durableId="195169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170B0"/>
    <w:rsid w:val="00037FBC"/>
    <w:rsid w:val="000513E8"/>
    <w:rsid w:val="000736BB"/>
    <w:rsid w:val="000B665A"/>
    <w:rsid w:val="000C2164"/>
    <w:rsid w:val="000C6D26"/>
    <w:rsid w:val="000C7D2D"/>
    <w:rsid w:val="000E664A"/>
    <w:rsid w:val="00106C83"/>
    <w:rsid w:val="00127FD3"/>
    <w:rsid w:val="00134020"/>
    <w:rsid w:val="001355BB"/>
    <w:rsid w:val="001547D0"/>
    <w:rsid w:val="00161153"/>
    <w:rsid w:val="0019219A"/>
    <w:rsid w:val="001C08C9"/>
    <w:rsid w:val="001F7F37"/>
    <w:rsid w:val="002049A1"/>
    <w:rsid w:val="0021446D"/>
    <w:rsid w:val="00214BEE"/>
    <w:rsid w:val="00243C23"/>
    <w:rsid w:val="0026276B"/>
    <w:rsid w:val="00272A6C"/>
    <w:rsid w:val="00293FD8"/>
    <w:rsid w:val="002A79C8"/>
    <w:rsid w:val="002B1364"/>
    <w:rsid w:val="00352CB6"/>
    <w:rsid w:val="00356E46"/>
    <w:rsid w:val="00365DDA"/>
    <w:rsid w:val="0038174B"/>
    <w:rsid w:val="0038705A"/>
    <w:rsid w:val="00391DD0"/>
    <w:rsid w:val="0039671E"/>
    <w:rsid w:val="003A288A"/>
    <w:rsid w:val="003A590F"/>
    <w:rsid w:val="004144E6"/>
    <w:rsid w:val="004156B2"/>
    <w:rsid w:val="00437734"/>
    <w:rsid w:val="00452395"/>
    <w:rsid w:val="00452543"/>
    <w:rsid w:val="00456B18"/>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17389"/>
    <w:rsid w:val="00647B52"/>
    <w:rsid w:val="00682C5E"/>
    <w:rsid w:val="006B5389"/>
    <w:rsid w:val="006C303A"/>
    <w:rsid w:val="006D36CB"/>
    <w:rsid w:val="007409BA"/>
    <w:rsid w:val="00743C01"/>
    <w:rsid w:val="00753770"/>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A2E81"/>
    <w:rsid w:val="00AE1B50"/>
    <w:rsid w:val="00AE46B0"/>
    <w:rsid w:val="00B2185C"/>
    <w:rsid w:val="00B242E2"/>
    <w:rsid w:val="00B24A10"/>
    <w:rsid w:val="00B26500"/>
    <w:rsid w:val="00B559EB"/>
    <w:rsid w:val="00B56DC6"/>
    <w:rsid w:val="00B619DB"/>
    <w:rsid w:val="00B66A21"/>
    <w:rsid w:val="00B679F8"/>
    <w:rsid w:val="00B81541"/>
    <w:rsid w:val="00BA030F"/>
    <w:rsid w:val="00BB59DC"/>
    <w:rsid w:val="00C13753"/>
    <w:rsid w:val="00C32C61"/>
    <w:rsid w:val="00C9093C"/>
    <w:rsid w:val="00CA1BCD"/>
    <w:rsid w:val="00CE4947"/>
    <w:rsid w:val="00D0275A"/>
    <w:rsid w:val="00D05DC0"/>
    <w:rsid w:val="00DA4D6B"/>
    <w:rsid w:val="00DC6CA4"/>
    <w:rsid w:val="00DD1169"/>
    <w:rsid w:val="00DE08DB"/>
    <w:rsid w:val="00E35E0F"/>
    <w:rsid w:val="00E371D1"/>
    <w:rsid w:val="00E42F24"/>
    <w:rsid w:val="00E50929"/>
    <w:rsid w:val="00E53738"/>
    <w:rsid w:val="00EA3504"/>
    <w:rsid w:val="00ED5F67"/>
    <w:rsid w:val="00EE7068"/>
    <w:rsid w:val="00EF08AE"/>
    <w:rsid w:val="00EF5790"/>
    <w:rsid w:val="00F461B5"/>
    <w:rsid w:val="00F72317"/>
    <w:rsid w:val="00F84086"/>
    <w:rsid w:val="00FD121A"/>
    <w:rsid w:val="00FE46AE"/>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2024-11-07T16:44:00Z</dcterms:created>
  <dcterms:modified xsi:type="dcterms:W3CDTF">2024-11-07T16:53:00Z</dcterms:modified>
</cp:coreProperties>
</file>