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1DF23250" w:rsidR="00551D8A" w:rsidRDefault="002A7F0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4A3738">
              <w:rPr>
                <w:rFonts w:ascii="Arial" w:hAnsi="Arial" w:cs="Arial"/>
                <w:sz w:val="20"/>
                <w:szCs w:val="20"/>
              </w:rPr>
              <w:t>4</w:t>
            </w:r>
          </w:p>
          <w:p w14:paraId="73CCA37B" w14:textId="03E13F2C" w:rsidR="002A6B06" w:rsidRDefault="00851FA0"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4A3738">
              <w:rPr>
                <w:rFonts w:ascii="Arial" w:hAnsi="Arial" w:cs="Arial"/>
                <w:sz w:val="20"/>
                <w:szCs w:val="20"/>
              </w:rPr>
              <w:t>4</w:t>
            </w:r>
          </w:p>
          <w:p w14:paraId="4F453AF7" w14:textId="4E50E347" w:rsidR="00551D8A" w:rsidRDefault="00851FA0" w:rsidP="002A6B06">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4A3738">
              <w:rPr>
                <w:rFonts w:ascii="Arial" w:hAnsi="Arial" w:cs="Arial"/>
                <w:sz w:val="20"/>
                <w:szCs w:val="20"/>
              </w:rPr>
              <w:t>4</w:t>
            </w:r>
          </w:p>
          <w:p w14:paraId="16F15578" w14:textId="1FE393F5" w:rsidR="00551D8A" w:rsidRPr="00551D8A" w:rsidRDefault="00DD2F76" w:rsidP="00DD2F7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sidR="004A3738">
              <w:rPr>
                <w:rFonts w:ascii="Arial" w:hAnsi="Arial" w:cs="Arial"/>
                <w:sz w:val="20"/>
                <w:szCs w:val="20"/>
              </w:rPr>
              <w:t>4</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r w:rsidRPr="00D3705C">
              <w:rPr>
                <w:rFonts w:ascii="Arial" w:hAnsi="Arial" w:cs="Arial"/>
                <w:i/>
                <w:sz w:val="20"/>
                <w:szCs w:val="20"/>
              </w:rPr>
              <w:t>Kornel Kerenyi</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57CD7C" w14:textId="2972EFB9" w:rsid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w:t>
                  </w:r>
                  <w:proofErr w:type="gramStart"/>
                  <w:r w:rsidRPr="00511639">
                    <w:rPr>
                      <w:rFonts w:ascii="Arial" w:eastAsia="Times New Roman" w:hAnsi="Arial" w:cs="Arial"/>
                      <w:sz w:val="20"/>
                      <w:szCs w:val="20"/>
                    </w:rPr>
                    <w:t>e.g.</w:t>
                  </w:r>
                  <w:proofErr w:type="gramEnd"/>
                  <w:r w:rsidRPr="00511639">
                    <w:rPr>
                      <w:rFonts w:ascii="Arial" w:eastAsia="Times New Roman" w:hAnsi="Arial" w:cs="Arial"/>
                      <w:sz w:val="20"/>
                      <w:szCs w:val="20"/>
                    </w:rPr>
                    <w:t xml:space="preserve">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p w14:paraId="39634AFF" w14:textId="77777777" w:rsidR="008A6B37" w:rsidRDefault="008A6B37" w:rsidP="005A1D4E">
                  <w:pPr>
                    <w:spacing w:after="0" w:line="240" w:lineRule="auto"/>
                    <w:rPr>
                      <w:rFonts w:ascii="Arial" w:eastAsia="Times New Roman" w:hAnsi="Arial" w:cs="Arial"/>
                      <w:sz w:val="20"/>
                      <w:szCs w:val="20"/>
                    </w:rPr>
                  </w:pPr>
                </w:p>
                <w:p w14:paraId="1CBE6404" w14:textId="39730C14" w:rsidR="008A6B37" w:rsidRPr="00511639" w:rsidRDefault="008A6B37" w:rsidP="005A1D4E">
                  <w:pPr>
                    <w:spacing w:after="0" w:line="240" w:lineRule="auto"/>
                    <w:rPr>
                      <w:rFonts w:ascii="Arial" w:eastAsia="Times New Roman" w:hAnsi="Arial" w:cs="Arial"/>
                      <w:sz w:val="20"/>
                      <w:szCs w:val="20"/>
                    </w:rPr>
                  </w:pPr>
                  <w:r w:rsidRPr="001E10F4">
                    <w:rPr>
                      <w:rFonts w:ascii="Arial" w:hAnsi="Arial" w:cs="Arial"/>
                      <w:color w:val="212529"/>
                      <w:sz w:val="20"/>
                      <w:szCs w:val="20"/>
                      <w:shd w:val="clear" w:color="auto" w:fill="FFFFFF"/>
                    </w:rPr>
                    <w:t>Task 7: </w:t>
                  </w:r>
                  <w:r w:rsidRPr="001E10F4">
                    <w:rPr>
                      <w:rFonts w:ascii="Arial" w:hAnsi="Arial" w:cs="Arial"/>
                      <w:color w:val="212529"/>
                      <w:spacing w:val="-2"/>
                      <w:sz w:val="20"/>
                      <w:szCs w:val="20"/>
                      <w:shd w:val="clear" w:color="auto" w:fill="FFFFFF"/>
                    </w:rPr>
                    <w:t>Scour along Longitudinal Structures: This task will use NextScour principles (hydraulic loading functions versus soil erosion resistance), Computational Fluid Dynamics (CFD), Flume Experiments and Case Studies to research scour prediction for various flow conditions on longitudinal structure types and configurations in a riverine environment.  </w:t>
                  </w:r>
                </w:p>
              </w:tc>
            </w:tr>
          </w:tbl>
          <w:p w14:paraId="0076C6AD" w14:textId="77777777" w:rsidR="00601EBD" w:rsidRPr="00D72FEF" w:rsidRDefault="00601EBD" w:rsidP="00551D8A">
            <w:pPr>
              <w:ind w:right="-720"/>
              <w:rPr>
                <w:rFonts w:ascii="Arial" w:hAnsi="Arial" w:cs="Arial"/>
                <w:sz w:val="20"/>
                <w:szCs w:val="20"/>
              </w:rPr>
            </w:pPr>
          </w:p>
        </w:tc>
      </w:tr>
    </w:tbl>
    <w:p w14:paraId="233E314D" w14:textId="3140FAB8" w:rsidR="00037FBC" w:rsidRDefault="00037FBC" w:rsidP="00551D8A">
      <w:pPr>
        <w:spacing w:after="0"/>
        <w:ind w:left="-720" w:right="-720"/>
        <w:rPr>
          <w:rFonts w:ascii="Arial" w:hAnsi="Arial" w:cs="Arial"/>
          <w:sz w:val="20"/>
          <w:szCs w:val="20"/>
        </w:rPr>
      </w:pPr>
    </w:p>
    <w:p w14:paraId="24DF35C5" w14:textId="221E80A3" w:rsidR="008A6B37" w:rsidRDefault="008A6B37" w:rsidP="00551D8A">
      <w:pPr>
        <w:spacing w:after="0"/>
        <w:ind w:left="-720" w:right="-720"/>
        <w:rPr>
          <w:rFonts w:ascii="Arial" w:hAnsi="Arial" w:cs="Arial"/>
          <w:sz w:val="20"/>
          <w:szCs w:val="20"/>
        </w:rPr>
      </w:pPr>
    </w:p>
    <w:p w14:paraId="0739BE4B" w14:textId="4D45E4E3" w:rsidR="008A6B37" w:rsidRDefault="008A6B37" w:rsidP="00551D8A">
      <w:pPr>
        <w:spacing w:after="0"/>
        <w:ind w:left="-720" w:right="-720"/>
        <w:rPr>
          <w:rFonts w:ascii="Arial" w:hAnsi="Arial" w:cs="Arial"/>
          <w:sz w:val="20"/>
          <w:szCs w:val="20"/>
        </w:rPr>
      </w:pPr>
    </w:p>
    <w:p w14:paraId="0D6AC7A9" w14:textId="547A6726" w:rsidR="008A6B37" w:rsidRDefault="008A6B37" w:rsidP="00551D8A">
      <w:pPr>
        <w:spacing w:after="0"/>
        <w:ind w:left="-720" w:right="-720"/>
        <w:rPr>
          <w:rFonts w:ascii="Arial" w:hAnsi="Arial" w:cs="Arial"/>
          <w:sz w:val="20"/>
          <w:szCs w:val="20"/>
        </w:rPr>
      </w:pPr>
    </w:p>
    <w:p w14:paraId="76D404F4" w14:textId="3ECEF0EA" w:rsidR="008A6B37" w:rsidRDefault="008A6B37" w:rsidP="00551D8A">
      <w:pPr>
        <w:spacing w:after="0"/>
        <w:ind w:left="-720" w:right="-720"/>
        <w:rPr>
          <w:rFonts w:ascii="Arial" w:hAnsi="Arial" w:cs="Arial"/>
          <w:sz w:val="20"/>
          <w:szCs w:val="20"/>
        </w:rPr>
      </w:pPr>
    </w:p>
    <w:p w14:paraId="23FD069E" w14:textId="3CF3AB6C" w:rsidR="008A6B37" w:rsidRDefault="008A6B37" w:rsidP="00551D8A">
      <w:pPr>
        <w:spacing w:after="0"/>
        <w:ind w:left="-720" w:right="-720"/>
        <w:rPr>
          <w:rFonts w:ascii="Arial" w:hAnsi="Arial" w:cs="Arial"/>
          <w:sz w:val="20"/>
          <w:szCs w:val="20"/>
        </w:rPr>
      </w:pPr>
    </w:p>
    <w:p w14:paraId="6B0427C5" w14:textId="1976B318" w:rsidR="008A6B37" w:rsidRDefault="008A6B37" w:rsidP="00551D8A">
      <w:pPr>
        <w:spacing w:after="0"/>
        <w:ind w:left="-720" w:right="-720"/>
        <w:rPr>
          <w:rFonts w:ascii="Arial" w:hAnsi="Arial" w:cs="Arial"/>
          <w:sz w:val="20"/>
          <w:szCs w:val="20"/>
        </w:rPr>
      </w:pPr>
    </w:p>
    <w:p w14:paraId="79C16360" w14:textId="0B0E5AE8" w:rsidR="008A6B37" w:rsidRDefault="008A6B37" w:rsidP="00551D8A">
      <w:pPr>
        <w:spacing w:after="0"/>
        <w:ind w:left="-720" w:right="-720"/>
        <w:rPr>
          <w:rFonts w:ascii="Arial" w:hAnsi="Arial" w:cs="Arial"/>
          <w:sz w:val="20"/>
          <w:szCs w:val="20"/>
        </w:rPr>
      </w:pPr>
    </w:p>
    <w:p w14:paraId="40C221AA" w14:textId="7292571D" w:rsidR="008A6B37" w:rsidRDefault="008A6B37" w:rsidP="00551D8A">
      <w:pPr>
        <w:spacing w:after="0"/>
        <w:ind w:left="-720" w:right="-720"/>
        <w:rPr>
          <w:rFonts w:ascii="Arial" w:hAnsi="Arial" w:cs="Arial"/>
          <w:sz w:val="20"/>
          <w:szCs w:val="20"/>
        </w:rPr>
      </w:pPr>
    </w:p>
    <w:p w14:paraId="7324E400" w14:textId="694BC690" w:rsidR="008A6B37" w:rsidRDefault="008A6B37" w:rsidP="00551D8A">
      <w:pPr>
        <w:spacing w:after="0"/>
        <w:ind w:left="-720" w:right="-720"/>
        <w:rPr>
          <w:rFonts w:ascii="Arial" w:hAnsi="Arial" w:cs="Arial"/>
          <w:sz w:val="20"/>
          <w:szCs w:val="20"/>
        </w:rPr>
      </w:pPr>
    </w:p>
    <w:p w14:paraId="1B0D782D" w14:textId="6EC82578" w:rsidR="008A6B37" w:rsidRDefault="008A6B37" w:rsidP="00551D8A">
      <w:pPr>
        <w:spacing w:after="0"/>
        <w:ind w:left="-720" w:right="-720"/>
        <w:rPr>
          <w:rFonts w:ascii="Arial" w:hAnsi="Arial" w:cs="Arial"/>
          <w:sz w:val="20"/>
          <w:szCs w:val="20"/>
        </w:rPr>
      </w:pPr>
    </w:p>
    <w:p w14:paraId="0F52659B" w14:textId="6710AC45" w:rsidR="008A6B37" w:rsidRDefault="008A6B37" w:rsidP="00551D8A">
      <w:pPr>
        <w:spacing w:after="0"/>
        <w:ind w:left="-720" w:right="-720"/>
        <w:rPr>
          <w:rFonts w:ascii="Arial" w:hAnsi="Arial" w:cs="Arial"/>
          <w:sz w:val="20"/>
          <w:szCs w:val="20"/>
        </w:rPr>
      </w:pPr>
    </w:p>
    <w:p w14:paraId="05ADBF6B" w14:textId="75951202" w:rsidR="008A6B37" w:rsidRDefault="008A6B37" w:rsidP="00551D8A">
      <w:pPr>
        <w:spacing w:after="0"/>
        <w:ind w:left="-720" w:right="-720"/>
        <w:rPr>
          <w:rFonts w:ascii="Arial" w:hAnsi="Arial" w:cs="Arial"/>
          <w:sz w:val="20"/>
          <w:szCs w:val="20"/>
        </w:rPr>
      </w:pPr>
    </w:p>
    <w:p w14:paraId="72E0C205" w14:textId="33803E37" w:rsidR="008A6B37" w:rsidRDefault="008A6B37" w:rsidP="00551D8A">
      <w:pPr>
        <w:spacing w:after="0"/>
        <w:ind w:left="-720" w:right="-720"/>
        <w:rPr>
          <w:rFonts w:ascii="Arial" w:hAnsi="Arial" w:cs="Arial"/>
          <w:sz w:val="20"/>
          <w:szCs w:val="20"/>
        </w:rPr>
      </w:pPr>
    </w:p>
    <w:p w14:paraId="59DF9C52" w14:textId="727CD58B" w:rsidR="008A6B37" w:rsidRDefault="008A6B37" w:rsidP="00551D8A">
      <w:pPr>
        <w:spacing w:after="0"/>
        <w:ind w:left="-720" w:right="-720"/>
        <w:rPr>
          <w:rFonts w:ascii="Arial" w:hAnsi="Arial" w:cs="Arial"/>
          <w:sz w:val="20"/>
          <w:szCs w:val="20"/>
        </w:rPr>
      </w:pPr>
    </w:p>
    <w:p w14:paraId="3A193AF2" w14:textId="77777777" w:rsidR="008A6B37" w:rsidRDefault="008A6B3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0443C070" w14:textId="36EC8EBF" w:rsidR="002C33C0" w:rsidRDefault="002C33C0" w:rsidP="004A3738">
            <w:pPr>
              <w:pStyle w:val="ListParagraph"/>
              <w:numPr>
                <w:ilvl w:val="0"/>
                <w:numId w:val="5"/>
              </w:numPr>
              <w:ind w:right="5"/>
              <w:rPr>
                <w:rFonts w:ascii="Arial" w:hAnsi="Arial" w:cs="Arial"/>
                <w:sz w:val="20"/>
                <w:szCs w:val="20"/>
              </w:rPr>
            </w:pPr>
            <w:r>
              <w:rPr>
                <w:rFonts w:ascii="Arial" w:hAnsi="Arial" w:cs="Arial"/>
                <w:sz w:val="20"/>
                <w:szCs w:val="20"/>
              </w:rPr>
              <w:t>Received Shelby tube samples for MDOT</w:t>
            </w:r>
            <w:r w:rsidRPr="00487458">
              <w:rPr>
                <w:rFonts w:ascii="Arial" w:hAnsi="Arial" w:cs="Arial"/>
                <w:sz w:val="20"/>
                <w:szCs w:val="20"/>
              </w:rPr>
              <w:t xml:space="preserve"> </w:t>
            </w:r>
            <w:r w:rsidRPr="00487458">
              <w:rPr>
                <w:rFonts w:ascii="Arial" w:hAnsi="Arial" w:cs="Arial"/>
                <w:sz w:val="20"/>
                <w:szCs w:val="20"/>
              </w:rPr>
              <w:t xml:space="preserve">US-23 Bridge replacement </w:t>
            </w:r>
            <w:proofErr w:type="gramStart"/>
            <w:r w:rsidRPr="00487458">
              <w:rPr>
                <w:rFonts w:ascii="Arial" w:hAnsi="Arial" w:cs="Arial"/>
                <w:sz w:val="20"/>
                <w:szCs w:val="20"/>
              </w:rPr>
              <w:t>project</w:t>
            </w:r>
            <w:proofErr w:type="gramEnd"/>
          </w:p>
          <w:p w14:paraId="69B99C5E" w14:textId="74DE6962" w:rsidR="004A3738" w:rsidRPr="00487458" w:rsidRDefault="00851FA0" w:rsidP="004A3738">
            <w:pPr>
              <w:pStyle w:val="ListParagraph"/>
              <w:numPr>
                <w:ilvl w:val="0"/>
                <w:numId w:val="5"/>
              </w:numPr>
              <w:ind w:right="5"/>
              <w:rPr>
                <w:rFonts w:ascii="Arial" w:hAnsi="Arial" w:cs="Arial"/>
                <w:sz w:val="20"/>
                <w:szCs w:val="20"/>
              </w:rPr>
            </w:pPr>
            <w:r>
              <w:rPr>
                <w:rFonts w:ascii="Arial" w:hAnsi="Arial" w:cs="Arial"/>
                <w:sz w:val="20"/>
                <w:szCs w:val="20"/>
              </w:rPr>
              <w:t xml:space="preserve">Conducted the sediment transport </w:t>
            </w:r>
            <w:r w:rsidR="00D105D4">
              <w:rPr>
                <w:rFonts w:ascii="Arial" w:hAnsi="Arial" w:cs="Arial"/>
                <w:sz w:val="20"/>
                <w:szCs w:val="20"/>
              </w:rPr>
              <w:t>modeling</w:t>
            </w:r>
            <w:r w:rsidR="00CC0D0D">
              <w:rPr>
                <w:rFonts w:ascii="Arial" w:hAnsi="Arial" w:cs="Arial"/>
                <w:sz w:val="20"/>
                <w:szCs w:val="20"/>
              </w:rPr>
              <w:t xml:space="preserve"> in SRH-2D for MDOT </w:t>
            </w:r>
            <w:r w:rsidR="00CC0D0D" w:rsidRPr="00487458">
              <w:rPr>
                <w:rFonts w:ascii="Arial" w:hAnsi="Arial" w:cs="Arial"/>
                <w:sz w:val="20"/>
                <w:szCs w:val="20"/>
              </w:rPr>
              <w:t>US-23 Bridge replacement project</w:t>
            </w:r>
            <w:r w:rsidR="00CC0D0D">
              <w:rPr>
                <w:rFonts w:ascii="Arial" w:hAnsi="Arial" w:cs="Arial"/>
                <w:sz w:val="20"/>
                <w:szCs w:val="20"/>
              </w:rPr>
              <w:t xml:space="preserve">. After consulting RC and BR for technical assistance, laid out research plan for the </w:t>
            </w:r>
            <w:proofErr w:type="gramStart"/>
            <w:r w:rsidR="00CC0D0D">
              <w:rPr>
                <w:rFonts w:ascii="Arial" w:hAnsi="Arial" w:cs="Arial"/>
                <w:sz w:val="20"/>
                <w:szCs w:val="20"/>
              </w:rPr>
              <w:t>project</w:t>
            </w:r>
            <w:proofErr w:type="gramEnd"/>
          </w:p>
          <w:p w14:paraId="211FD6CD" w14:textId="77777777" w:rsidR="00CC0D0D" w:rsidRPr="00487458" w:rsidRDefault="00CC0D0D" w:rsidP="00CC0D0D">
            <w:pPr>
              <w:pStyle w:val="ListParagraph"/>
              <w:numPr>
                <w:ilvl w:val="0"/>
                <w:numId w:val="5"/>
              </w:numPr>
              <w:ind w:right="5"/>
              <w:rPr>
                <w:rFonts w:ascii="Arial" w:hAnsi="Arial" w:cs="Arial"/>
                <w:sz w:val="20"/>
                <w:szCs w:val="20"/>
              </w:rPr>
            </w:pPr>
            <w:r>
              <w:rPr>
                <w:rFonts w:ascii="Arial" w:hAnsi="Arial" w:cs="Arial"/>
                <w:sz w:val="20"/>
                <w:szCs w:val="20"/>
              </w:rPr>
              <w:t xml:space="preserve">Attended the 2024 NHEC and presented the shear stress decay method for scour calculation, reliability-based lower-bound critical shear stress </w:t>
            </w:r>
            <w:r w:rsidRPr="00487458">
              <w:rPr>
                <w:rFonts w:ascii="Arial" w:hAnsi="Arial" w:cs="Arial"/>
                <w:sz w:val="20"/>
                <w:szCs w:val="20"/>
              </w:rPr>
              <w:t>(</w:t>
            </w:r>
            <w:proofErr w:type="spellStart"/>
            <w:r w:rsidRPr="00487458">
              <w:rPr>
                <w:rFonts w:ascii="Times New Roman" w:hAnsi="Times New Roman" w:cs="Times New Roman"/>
                <w:sz w:val="20"/>
                <w:szCs w:val="20"/>
              </w:rPr>
              <w:t>τ</w:t>
            </w:r>
            <w:proofErr w:type="gramStart"/>
            <w:r w:rsidRPr="00487458">
              <w:rPr>
                <w:rFonts w:ascii="Arial" w:hAnsi="Arial" w:cs="Arial"/>
                <w:sz w:val="20"/>
                <w:szCs w:val="20"/>
                <w:vertAlign w:val="subscript"/>
              </w:rPr>
              <w:t>c,design</w:t>
            </w:r>
            <w:proofErr w:type="spellEnd"/>
            <w:proofErr w:type="gramEnd"/>
            <w:r w:rsidRPr="00487458">
              <w:rPr>
                <w:rFonts w:ascii="Arial" w:hAnsi="Arial" w:cs="Arial"/>
                <w:sz w:val="20"/>
                <w:szCs w:val="20"/>
              </w:rPr>
              <w:t xml:space="preserve">) </w:t>
            </w:r>
            <w:r>
              <w:rPr>
                <w:rFonts w:ascii="Arial" w:hAnsi="Arial" w:cs="Arial"/>
                <w:sz w:val="20"/>
                <w:szCs w:val="20"/>
              </w:rPr>
              <w:t xml:space="preserve">determination for clay and progress update of this TPF study </w:t>
            </w:r>
          </w:p>
          <w:p w14:paraId="4E84FF2F" w14:textId="26E5C3F5" w:rsidR="004A3738" w:rsidRPr="00487458" w:rsidRDefault="00851FA0" w:rsidP="004A3738">
            <w:pPr>
              <w:pStyle w:val="ListParagraph"/>
              <w:numPr>
                <w:ilvl w:val="0"/>
                <w:numId w:val="5"/>
              </w:numPr>
              <w:ind w:right="5"/>
              <w:rPr>
                <w:rFonts w:ascii="Arial" w:hAnsi="Arial" w:cs="Arial"/>
                <w:sz w:val="20"/>
                <w:szCs w:val="20"/>
              </w:rPr>
            </w:pPr>
            <w:r>
              <w:rPr>
                <w:rFonts w:ascii="Arial" w:hAnsi="Arial" w:cs="Arial"/>
                <w:sz w:val="20"/>
                <w:szCs w:val="20"/>
              </w:rPr>
              <w:t xml:space="preserve">Met with TNDOT at 2024 NHEC and discussed the status of I-55 Bridge replacement and needed </w:t>
            </w:r>
            <w:proofErr w:type="gramStart"/>
            <w:r>
              <w:rPr>
                <w:rFonts w:ascii="Arial" w:hAnsi="Arial" w:cs="Arial"/>
                <w:sz w:val="20"/>
                <w:szCs w:val="20"/>
              </w:rPr>
              <w:t>documents</w:t>
            </w:r>
            <w:proofErr w:type="gramEnd"/>
            <w:r>
              <w:rPr>
                <w:rFonts w:ascii="Arial" w:hAnsi="Arial" w:cs="Arial"/>
                <w:sz w:val="20"/>
                <w:szCs w:val="20"/>
              </w:rPr>
              <w:t xml:space="preserve"> </w:t>
            </w:r>
          </w:p>
          <w:p w14:paraId="50E2A1CA" w14:textId="72E3E783" w:rsidR="002C33C0" w:rsidRDefault="002C33C0" w:rsidP="004A3738">
            <w:pPr>
              <w:pStyle w:val="ListParagraph"/>
              <w:numPr>
                <w:ilvl w:val="0"/>
                <w:numId w:val="5"/>
              </w:numPr>
              <w:ind w:right="5"/>
              <w:rPr>
                <w:rFonts w:ascii="Arial" w:hAnsi="Arial" w:cs="Arial"/>
                <w:sz w:val="20"/>
                <w:szCs w:val="20"/>
              </w:rPr>
            </w:pPr>
            <w:r>
              <w:rPr>
                <w:rFonts w:ascii="Arial" w:hAnsi="Arial" w:cs="Arial"/>
                <w:sz w:val="20"/>
                <w:szCs w:val="20"/>
              </w:rPr>
              <w:t xml:space="preserve">Hosted three virtual monthly NextScour update </w:t>
            </w:r>
            <w:proofErr w:type="gramStart"/>
            <w:r>
              <w:rPr>
                <w:rFonts w:ascii="Arial" w:hAnsi="Arial" w:cs="Arial"/>
                <w:sz w:val="20"/>
                <w:szCs w:val="20"/>
              </w:rPr>
              <w:t>meetings</w:t>
            </w:r>
            <w:proofErr w:type="gramEnd"/>
          </w:p>
          <w:p w14:paraId="1D2E8EE7" w14:textId="712350E9" w:rsidR="00CC0D0D" w:rsidRDefault="00CC0D0D" w:rsidP="004A3738">
            <w:pPr>
              <w:pStyle w:val="ListParagraph"/>
              <w:numPr>
                <w:ilvl w:val="0"/>
                <w:numId w:val="5"/>
              </w:numPr>
              <w:ind w:right="5"/>
              <w:rPr>
                <w:rFonts w:ascii="Arial" w:hAnsi="Arial" w:cs="Arial"/>
                <w:sz w:val="20"/>
                <w:szCs w:val="20"/>
              </w:rPr>
            </w:pPr>
            <w:r>
              <w:rPr>
                <w:rFonts w:ascii="Arial" w:hAnsi="Arial" w:cs="Arial"/>
                <w:sz w:val="20"/>
                <w:szCs w:val="20"/>
              </w:rPr>
              <w:t>Organized the 2</w:t>
            </w:r>
            <w:r w:rsidRPr="00CC0D0D">
              <w:rPr>
                <w:rFonts w:ascii="Arial" w:hAnsi="Arial" w:cs="Arial"/>
                <w:sz w:val="20"/>
                <w:szCs w:val="20"/>
                <w:vertAlign w:val="superscript"/>
              </w:rPr>
              <w:t>nd</w:t>
            </w:r>
            <w:r>
              <w:rPr>
                <w:rFonts w:ascii="Arial" w:hAnsi="Arial" w:cs="Arial"/>
                <w:sz w:val="20"/>
                <w:szCs w:val="20"/>
              </w:rPr>
              <w:t xml:space="preserve"> presentation to MSDOT </w:t>
            </w:r>
            <w:r w:rsidR="00FC65B2">
              <w:rPr>
                <w:rFonts w:ascii="Arial" w:hAnsi="Arial" w:cs="Arial"/>
                <w:sz w:val="20"/>
                <w:szCs w:val="20"/>
              </w:rPr>
              <w:t xml:space="preserve">and updated them </w:t>
            </w:r>
            <w:r>
              <w:rPr>
                <w:rFonts w:ascii="Arial" w:hAnsi="Arial" w:cs="Arial"/>
                <w:sz w:val="20"/>
                <w:szCs w:val="20"/>
              </w:rPr>
              <w:t xml:space="preserve">with the </w:t>
            </w:r>
            <w:r w:rsidR="00FC65B2">
              <w:rPr>
                <w:rFonts w:ascii="Arial" w:hAnsi="Arial" w:cs="Arial"/>
                <w:sz w:val="20"/>
                <w:szCs w:val="20"/>
              </w:rPr>
              <w:t xml:space="preserve">CFD </w:t>
            </w:r>
            <w:r>
              <w:rPr>
                <w:rFonts w:ascii="Arial" w:hAnsi="Arial" w:cs="Arial"/>
                <w:sz w:val="20"/>
                <w:szCs w:val="20"/>
              </w:rPr>
              <w:t>flow simulation</w:t>
            </w:r>
            <w:r w:rsidR="00FC65B2">
              <w:rPr>
                <w:rFonts w:ascii="Arial" w:hAnsi="Arial" w:cs="Arial"/>
                <w:sz w:val="20"/>
                <w:szCs w:val="20"/>
              </w:rPr>
              <w:t>s</w:t>
            </w:r>
            <w:r>
              <w:rPr>
                <w:rFonts w:ascii="Arial" w:hAnsi="Arial" w:cs="Arial"/>
                <w:sz w:val="20"/>
                <w:szCs w:val="20"/>
              </w:rPr>
              <w:t xml:space="preserve"> and clay resistance for the Lynch Creek bridges </w:t>
            </w:r>
            <w:proofErr w:type="gramStart"/>
            <w:r>
              <w:rPr>
                <w:rFonts w:ascii="Arial" w:hAnsi="Arial" w:cs="Arial"/>
                <w:sz w:val="20"/>
                <w:szCs w:val="20"/>
              </w:rPr>
              <w:t>project</w:t>
            </w:r>
            <w:proofErr w:type="gramEnd"/>
          </w:p>
          <w:p w14:paraId="38F6046A" w14:textId="5D8046F2" w:rsidR="004A3738" w:rsidRPr="00487458" w:rsidRDefault="00851FA0" w:rsidP="004A3738">
            <w:pPr>
              <w:pStyle w:val="ListParagraph"/>
              <w:numPr>
                <w:ilvl w:val="0"/>
                <w:numId w:val="5"/>
              </w:numPr>
              <w:ind w:right="5"/>
              <w:rPr>
                <w:rFonts w:ascii="Arial" w:hAnsi="Arial" w:cs="Arial"/>
                <w:sz w:val="20"/>
                <w:szCs w:val="20"/>
              </w:rPr>
            </w:pPr>
            <w:r>
              <w:rPr>
                <w:rFonts w:ascii="Arial" w:hAnsi="Arial" w:cs="Arial"/>
                <w:sz w:val="20"/>
                <w:szCs w:val="20"/>
              </w:rPr>
              <w:t>Continued a</w:t>
            </w:r>
            <w:r w:rsidR="004A3738" w:rsidRPr="00487458">
              <w:rPr>
                <w:rFonts w:ascii="Arial" w:hAnsi="Arial" w:cs="Arial"/>
                <w:sz w:val="20"/>
                <w:szCs w:val="20"/>
              </w:rPr>
              <w:t>dvanc</w:t>
            </w:r>
            <w:r>
              <w:rPr>
                <w:rFonts w:ascii="Arial" w:hAnsi="Arial" w:cs="Arial"/>
                <w:sz w:val="20"/>
                <w:szCs w:val="20"/>
              </w:rPr>
              <w:t>ing</w:t>
            </w:r>
            <w:r w:rsidR="004A3738" w:rsidRPr="00487458">
              <w:rPr>
                <w:rFonts w:ascii="Arial" w:hAnsi="Arial" w:cs="Arial"/>
                <w:sz w:val="20"/>
                <w:szCs w:val="20"/>
              </w:rPr>
              <w:t xml:space="preserve"> the method of predicting the lower-bound critical shear stress</w:t>
            </w:r>
            <w:r w:rsidR="00487458" w:rsidRPr="00487458">
              <w:rPr>
                <w:rFonts w:ascii="Arial" w:hAnsi="Arial" w:cs="Arial"/>
                <w:sz w:val="20"/>
                <w:szCs w:val="20"/>
              </w:rPr>
              <w:t xml:space="preserve"> (</w:t>
            </w:r>
            <w:proofErr w:type="spellStart"/>
            <w:r w:rsidR="00487458" w:rsidRPr="00487458">
              <w:rPr>
                <w:rFonts w:ascii="Times New Roman" w:hAnsi="Times New Roman" w:cs="Times New Roman"/>
                <w:sz w:val="20"/>
                <w:szCs w:val="20"/>
              </w:rPr>
              <w:t>τ</w:t>
            </w:r>
            <w:proofErr w:type="gramStart"/>
            <w:r w:rsidR="00487458" w:rsidRPr="00487458">
              <w:rPr>
                <w:rFonts w:ascii="Arial" w:hAnsi="Arial" w:cs="Arial"/>
                <w:sz w:val="20"/>
                <w:szCs w:val="20"/>
                <w:vertAlign w:val="subscript"/>
              </w:rPr>
              <w:t>c,design</w:t>
            </w:r>
            <w:proofErr w:type="spellEnd"/>
            <w:proofErr w:type="gramEnd"/>
            <w:r w:rsidR="00487458" w:rsidRPr="00487458">
              <w:rPr>
                <w:rFonts w:ascii="Arial" w:hAnsi="Arial" w:cs="Arial"/>
                <w:sz w:val="20"/>
                <w:szCs w:val="20"/>
              </w:rPr>
              <w:t>)</w:t>
            </w:r>
            <w:r w:rsidR="004A3738" w:rsidRPr="00487458">
              <w:rPr>
                <w:rFonts w:ascii="Arial" w:hAnsi="Arial" w:cs="Arial"/>
                <w:sz w:val="20"/>
                <w:szCs w:val="20"/>
              </w:rPr>
              <w:t xml:space="preserve"> of clay using </w:t>
            </w:r>
            <w:proofErr w:type="spellStart"/>
            <w:r w:rsidR="00487458" w:rsidRPr="00487458">
              <w:rPr>
                <w:rFonts w:ascii="Times New Roman" w:hAnsi="Times New Roman" w:cs="Times New Roman"/>
                <w:sz w:val="20"/>
                <w:szCs w:val="20"/>
              </w:rPr>
              <w:t>τ</w:t>
            </w:r>
            <w:r w:rsidR="00487458" w:rsidRPr="00487458">
              <w:rPr>
                <w:rFonts w:ascii="Arial" w:hAnsi="Arial" w:cs="Arial"/>
                <w:sz w:val="20"/>
                <w:szCs w:val="20"/>
                <w:vertAlign w:val="subscript"/>
              </w:rPr>
              <w:t>c</w:t>
            </w:r>
            <w:proofErr w:type="spellEnd"/>
            <w:r w:rsidR="00487458" w:rsidRPr="00487458">
              <w:rPr>
                <w:rFonts w:ascii="Arial" w:hAnsi="Arial" w:cs="Arial"/>
                <w:sz w:val="20"/>
                <w:szCs w:val="20"/>
              </w:rPr>
              <w:t xml:space="preserve"> </w:t>
            </w:r>
            <w:r>
              <w:rPr>
                <w:rFonts w:ascii="Arial" w:hAnsi="Arial" w:cs="Arial"/>
                <w:sz w:val="20"/>
                <w:szCs w:val="20"/>
              </w:rPr>
              <w:t>regression</w:t>
            </w:r>
            <w:r w:rsidR="00487458" w:rsidRPr="00487458">
              <w:rPr>
                <w:rFonts w:ascii="Arial" w:hAnsi="Arial" w:cs="Arial"/>
                <w:sz w:val="20"/>
                <w:szCs w:val="20"/>
              </w:rPr>
              <w:t xml:space="preserve"> equation and </w:t>
            </w:r>
            <w:r>
              <w:rPr>
                <w:rFonts w:ascii="Arial" w:hAnsi="Arial" w:cs="Arial"/>
                <w:sz w:val="20"/>
                <w:szCs w:val="20"/>
              </w:rPr>
              <w:t xml:space="preserve">statistical analysis on </w:t>
            </w:r>
            <w:r w:rsidR="00487458" w:rsidRPr="00487458">
              <w:rPr>
                <w:rFonts w:ascii="Arial" w:hAnsi="Arial" w:cs="Arial"/>
                <w:sz w:val="20"/>
                <w:szCs w:val="20"/>
              </w:rPr>
              <w:t xml:space="preserve">the ratio between measured and calculated </w:t>
            </w:r>
            <w:r w:rsidR="00487458" w:rsidRPr="00487458">
              <w:rPr>
                <w:rFonts w:ascii="Times New Roman" w:hAnsi="Times New Roman" w:cs="Times New Roman"/>
                <w:sz w:val="20"/>
                <w:szCs w:val="20"/>
              </w:rPr>
              <w:t>τ</w:t>
            </w:r>
            <w:r w:rsidR="00487458" w:rsidRPr="00487458">
              <w:rPr>
                <w:rFonts w:ascii="Arial" w:hAnsi="Arial" w:cs="Arial"/>
                <w:sz w:val="20"/>
                <w:szCs w:val="20"/>
                <w:vertAlign w:val="subscript"/>
              </w:rPr>
              <w:t>c</w:t>
            </w:r>
            <w:r w:rsidR="00487458" w:rsidRPr="00487458">
              <w:rPr>
                <w:rFonts w:ascii="Arial" w:hAnsi="Arial" w:cs="Arial"/>
                <w:sz w:val="20"/>
                <w:szCs w:val="20"/>
              </w:rPr>
              <w:t xml:space="preserve"> </w:t>
            </w:r>
          </w:p>
          <w:p w14:paraId="1BDFF12D" w14:textId="6C20E246" w:rsidR="005D3177" w:rsidRPr="00487458" w:rsidRDefault="00851FA0" w:rsidP="005D3177">
            <w:pPr>
              <w:pStyle w:val="ListParagraph"/>
              <w:numPr>
                <w:ilvl w:val="0"/>
                <w:numId w:val="5"/>
              </w:numPr>
              <w:ind w:right="5"/>
              <w:rPr>
                <w:rFonts w:ascii="Arial" w:hAnsi="Arial" w:cs="Arial"/>
                <w:sz w:val="20"/>
                <w:szCs w:val="20"/>
              </w:rPr>
            </w:pPr>
            <w:r>
              <w:rPr>
                <w:rFonts w:ascii="Arial" w:hAnsi="Arial" w:cs="Arial"/>
                <w:sz w:val="20"/>
                <w:szCs w:val="20"/>
              </w:rPr>
              <w:t xml:space="preserve">Continued CFD flow simulations for different cases of </w:t>
            </w:r>
            <w:r w:rsidRPr="00487458">
              <w:rPr>
                <w:rFonts w:ascii="Arial" w:hAnsi="Arial" w:cs="Arial"/>
                <w:sz w:val="20"/>
                <w:szCs w:val="20"/>
              </w:rPr>
              <w:t xml:space="preserve">longitudinal </w:t>
            </w:r>
            <w:r>
              <w:rPr>
                <w:rFonts w:ascii="Arial" w:hAnsi="Arial" w:cs="Arial"/>
                <w:sz w:val="20"/>
                <w:szCs w:val="20"/>
              </w:rPr>
              <w:t>structure to</w:t>
            </w:r>
            <w:r w:rsidR="005D3177" w:rsidRPr="00487458">
              <w:rPr>
                <w:rFonts w:ascii="Arial" w:hAnsi="Arial" w:cs="Arial"/>
                <w:sz w:val="20"/>
                <w:szCs w:val="20"/>
              </w:rPr>
              <w:t xml:space="preserve"> determine</w:t>
            </w:r>
            <w:r w:rsidR="005D3177">
              <w:rPr>
                <w:rFonts w:ascii="Arial" w:hAnsi="Arial" w:cs="Arial"/>
                <w:sz w:val="20"/>
                <w:szCs w:val="20"/>
              </w:rPr>
              <w:t xml:space="preserve"> </w:t>
            </w:r>
            <w:r>
              <w:rPr>
                <w:rFonts w:ascii="Arial" w:hAnsi="Arial" w:cs="Arial"/>
                <w:sz w:val="20"/>
                <w:szCs w:val="20"/>
              </w:rPr>
              <w:t xml:space="preserve">worst </w:t>
            </w:r>
            <w:r w:rsidR="005D3177" w:rsidRPr="00487458">
              <w:rPr>
                <w:rFonts w:ascii="Arial" w:hAnsi="Arial" w:cs="Arial"/>
                <w:sz w:val="20"/>
                <w:szCs w:val="20"/>
              </w:rPr>
              <w:t>scenario</w:t>
            </w:r>
            <w:r w:rsidR="005D3177">
              <w:rPr>
                <w:rFonts w:ascii="Arial" w:hAnsi="Arial" w:cs="Arial"/>
                <w:sz w:val="20"/>
                <w:szCs w:val="20"/>
              </w:rPr>
              <w:t>s</w:t>
            </w:r>
            <w:r w:rsidR="005D3177" w:rsidRPr="00487458">
              <w:rPr>
                <w:rFonts w:ascii="Arial" w:hAnsi="Arial" w:cs="Arial"/>
                <w:sz w:val="20"/>
                <w:szCs w:val="20"/>
              </w:rPr>
              <w:t xml:space="preserve"> </w:t>
            </w:r>
            <w:r>
              <w:rPr>
                <w:rFonts w:ascii="Arial" w:hAnsi="Arial" w:cs="Arial"/>
                <w:sz w:val="20"/>
                <w:szCs w:val="20"/>
              </w:rPr>
              <w:t xml:space="preserve">for </w:t>
            </w:r>
            <w:r w:rsidR="005D3177" w:rsidRPr="00487458">
              <w:rPr>
                <w:rFonts w:ascii="Arial" w:hAnsi="Arial" w:cs="Arial"/>
                <w:sz w:val="20"/>
                <w:szCs w:val="20"/>
              </w:rPr>
              <w:t>flume</w:t>
            </w:r>
            <w:r>
              <w:rPr>
                <w:rFonts w:ascii="Arial" w:hAnsi="Arial" w:cs="Arial"/>
                <w:sz w:val="20"/>
                <w:szCs w:val="20"/>
              </w:rPr>
              <w:t xml:space="preserve"> </w:t>
            </w:r>
            <w:proofErr w:type="gramStart"/>
            <w:r>
              <w:rPr>
                <w:rFonts w:ascii="Arial" w:hAnsi="Arial" w:cs="Arial"/>
                <w:sz w:val="20"/>
                <w:szCs w:val="20"/>
              </w:rPr>
              <w:t>study</w:t>
            </w:r>
            <w:proofErr w:type="gramEnd"/>
          </w:p>
          <w:p w14:paraId="52900E23" w14:textId="6A36747F" w:rsidR="005D3177" w:rsidRPr="00487458" w:rsidRDefault="005D3177" w:rsidP="004A3738">
            <w:pPr>
              <w:pStyle w:val="ListParagraph"/>
              <w:numPr>
                <w:ilvl w:val="0"/>
                <w:numId w:val="5"/>
              </w:numPr>
              <w:ind w:right="5"/>
              <w:rPr>
                <w:rFonts w:ascii="Arial" w:hAnsi="Arial" w:cs="Arial"/>
                <w:sz w:val="20"/>
                <w:szCs w:val="20"/>
              </w:rPr>
            </w:pPr>
            <w:r>
              <w:rPr>
                <w:rFonts w:ascii="Arial" w:hAnsi="Arial" w:cs="Arial"/>
                <w:sz w:val="20"/>
                <w:szCs w:val="20"/>
              </w:rPr>
              <w:t>Co</w:t>
            </w:r>
            <w:r w:rsidR="002051A1">
              <w:rPr>
                <w:rFonts w:ascii="Arial" w:hAnsi="Arial" w:cs="Arial"/>
                <w:sz w:val="20"/>
                <w:szCs w:val="20"/>
              </w:rPr>
              <w:t xml:space="preserve">ordinated </w:t>
            </w:r>
            <w:r>
              <w:rPr>
                <w:rFonts w:ascii="Arial" w:hAnsi="Arial" w:cs="Arial"/>
                <w:sz w:val="20"/>
                <w:szCs w:val="20"/>
              </w:rPr>
              <w:t xml:space="preserve">with ODOT </w:t>
            </w:r>
            <w:r w:rsidR="00851FA0">
              <w:rPr>
                <w:rFonts w:ascii="Arial" w:hAnsi="Arial" w:cs="Arial"/>
                <w:sz w:val="20"/>
                <w:szCs w:val="20"/>
              </w:rPr>
              <w:t xml:space="preserve">and identified two sites for collecting Shelby tube samples for </w:t>
            </w:r>
            <w:r>
              <w:rPr>
                <w:rFonts w:ascii="Arial" w:hAnsi="Arial" w:cs="Arial"/>
                <w:sz w:val="20"/>
                <w:szCs w:val="20"/>
              </w:rPr>
              <w:t xml:space="preserve">erosion </w:t>
            </w:r>
            <w:proofErr w:type="gramStart"/>
            <w:r w:rsidR="00851FA0">
              <w:rPr>
                <w:rFonts w:ascii="Arial" w:hAnsi="Arial" w:cs="Arial"/>
                <w:sz w:val="20"/>
                <w:szCs w:val="20"/>
              </w:rPr>
              <w:t>tests</w:t>
            </w:r>
            <w:proofErr w:type="gramEnd"/>
            <w:r>
              <w:rPr>
                <w:rFonts w:ascii="Arial" w:hAnsi="Arial" w:cs="Arial"/>
                <w:sz w:val="20"/>
                <w:szCs w:val="20"/>
              </w:rPr>
              <w:t xml:space="preserve"> </w:t>
            </w:r>
          </w:p>
          <w:p w14:paraId="38A109ED" w14:textId="74F71CB8" w:rsidR="008A6B37" w:rsidRPr="00487458" w:rsidRDefault="008A6B37" w:rsidP="005D3177">
            <w:pPr>
              <w:pStyle w:val="ListParagraph"/>
              <w:ind w:right="5"/>
              <w:rPr>
                <w:rFonts w:ascii="Arial" w:hAnsi="Arial" w:cs="Arial"/>
                <w:sz w:val="20"/>
                <w:szCs w:val="20"/>
              </w:rPr>
            </w:pP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081CEF7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32E86353" w14:textId="049BAB9A" w:rsidR="002C33C0" w:rsidRDefault="002C33C0" w:rsidP="005D3177">
            <w:pPr>
              <w:pStyle w:val="ListParagraph"/>
              <w:numPr>
                <w:ilvl w:val="0"/>
                <w:numId w:val="5"/>
              </w:numPr>
              <w:ind w:right="5"/>
              <w:rPr>
                <w:rFonts w:ascii="Arial" w:hAnsi="Arial" w:cs="Arial"/>
                <w:sz w:val="20"/>
                <w:szCs w:val="20"/>
              </w:rPr>
            </w:pPr>
            <w:r>
              <w:rPr>
                <w:rFonts w:ascii="Arial" w:hAnsi="Arial" w:cs="Arial"/>
                <w:sz w:val="20"/>
                <w:szCs w:val="20"/>
              </w:rPr>
              <w:t xml:space="preserve">Provide technical assistance update to MDOT on the </w:t>
            </w:r>
            <w:r w:rsidRPr="00487458">
              <w:rPr>
                <w:rFonts w:ascii="Arial" w:hAnsi="Arial" w:cs="Arial"/>
                <w:sz w:val="20"/>
                <w:szCs w:val="20"/>
              </w:rPr>
              <w:t xml:space="preserve">US-23 Bridge replacement </w:t>
            </w:r>
            <w:proofErr w:type="gramStart"/>
            <w:r w:rsidRPr="00487458">
              <w:rPr>
                <w:rFonts w:ascii="Arial" w:hAnsi="Arial" w:cs="Arial"/>
                <w:sz w:val="20"/>
                <w:szCs w:val="20"/>
              </w:rPr>
              <w:t>project</w:t>
            </w:r>
            <w:proofErr w:type="gramEnd"/>
          </w:p>
          <w:p w14:paraId="39B986BD" w14:textId="660A443A" w:rsidR="005D3177" w:rsidRPr="003265F4" w:rsidRDefault="002C33C0" w:rsidP="005D3177">
            <w:pPr>
              <w:pStyle w:val="ListParagraph"/>
              <w:numPr>
                <w:ilvl w:val="0"/>
                <w:numId w:val="5"/>
              </w:numPr>
              <w:ind w:right="5"/>
              <w:rPr>
                <w:rFonts w:ascii="Arial" w:hAnsi="Arial" w:cs="Arial"/>
                <w:sz w:val="20"/>
                <w:szCs w:val="20"/>
              </w:rPr>
            </w:pPr>
            <w:r>
              <w:rPr>
                <w:rFonts w:ascii="Arial" w:hAnsi="Arial" w:cs="Arial"/>
                <w:sz w:val="20"/>
                <w:szCs w:val="20"/>
              </w:rPr>
              <w:t>Complete the d</w:t>
            </w:r>
            <w:r w:rsidR="005D3177">
              <w:rPr>
                <w:rFonts w:ascii="Arial" w:hAnsi="Arial" w:cs="Arial"/>
                <w:sz w:val="20"/>
                <w:szCs w:val="20"/>
              </w:rPr>
              <w:t xml:space="preserve">raft </w:t>
            </w:r>
            <w:proofErr w:type="spellStart"/>
            <w:r w:rsidR="005D3177">
              <w:rPr>
                <w:rFonts w:ascii="Arial" w:hAnsi="Arial" w:cs="Arial"/>
                <w:sz w:val="20"/>
                <w:szCs w:val="20"/>
              </w:rPr>
              <w:t>TechNote</w:t>
            </w:r>
            <w:proofErr w:type="spellEnd"/>
            <w:r w:rsidR="005D3177">
              <w:rPr>
                <w:rFonts w:ascii="Arial" w:hAnsi="Arial" w:cs="Arial"/>
                <w:sz w:val="20"/>
                <w:szCs w:val="20"/>
              </w:rPr>
              <w:t xml:space="preserve"> on calculating </w:t>
            </w:r>
            <w:proofErr w:type="spellStart"/>
            <w:r w:rsidR="005D3177" w:rsidRPr="00487458">
              <w:rPr>
                <w:rFonts w:ascii="Times New Roman" w:hAnsi="Times New Roman" w:cs="Times New Roman"/>
                <w:sz w:val="20"/>
                <w:szCs w:val="20"/>
              </w:rPr>
              <w:t>τ</w:t>
            </w:r>
            <w:proofErr w:type="gramStart"/>
            <w:r w:rsidR="005D3177" w:rsidRPr="00487458">
              <w:rPr>
                <w:rFonts w:ascii="Arial" w:hAnsi="Arial" w:cs="Arial"/>
                <w:sz w:val="20"/>
                <w:szCs w:val="20"/>
                <w:vertAlign w:val="subscript"/>
              </w:rPr>
              <w:t>c,design</w:t>
            </w:r>
            <w:proofErr w:type="spellEnd"/>
            <w:proofErr w:type="gramEnd"/>
            <w:r w:rsidR="005D3177" w:rsidRPr="00487458">
              <w:rPr>
                <w:rFonts w:ascii="Arial" w:hAnsi="Arial" w:cs="Arial"/>
                <w:sz w:val="20"/>
                <w:szCs w:val="20"/>
              </w:rPr>
              <w:t xml:space="preserve"> of clay</w:t>
            </w:r>
          </w:p>
          <w:p w14:paraId="32B38790" w14:textId="5DDC432F" w:rsidR="005D3177" w:rsidRDefault="002C33C0" w:rsidP="005D3177">
            <w:pPr>
              <w:pStyle w:val="ListParagraph"/>
              <w:numPr>
                <w:ilvl w:val="0"/>
                <w:numId w:val="5"/>
              </w:numPr>
              <w:ind w:right="5"/>
              <w:rPr>
                <w:rFonts w:ascii="Arial" w:hAnsi="Arial" w:cs="Arial"/>
                <w:sz w:val="20"/>
                <w:szCs w:val="20"/>
              </w:rPr>
            </w:pPr>
            <w:r>
              <w:rPr>
                <w:rFonts w:ascii="Arial" w:hAnsi="Arial" w:cs="Arial"/>
                <w:sz w:val="20"/>
                <w:szCs w:val="20"/>
              </w:rPr>
              <w:t>C</w:t>
            </w:r>
            <w:r w:rsidR="005D3177">
              <w:rPr>
                <w:rFonts w:ascii="Arial" w:hAnsi="Arial" w:cs="Arial"/>
                <w:sz w:val="20"/>
                <w:szCs w:val="20"/>
              </w:rPr>
              <w:t xml:space="preserve">onduct the erosion tests for the US-23 bridge placement </w:t>
            </w:r>
            <w:proofErr w:type="gramStart"/>
            <w:r w:rsidR="005D3177">
              <w:rPr>
                <w:rFonts w:ascii="Arial" w:hAnsi="Arial" w:cs="Arial"/>
                <w:sz w:val="20"/>
                <w:szCs w:val="20"/>
              </w:rPr>
              <w:t>project</w:t>
            </w:r>
            <w:proofErr w:type="gramEnd"/>
          </w:p>
          <w:p w14:paraId="71B21FA6" w14:textId="77777777" w:rsidR="005D3177" w:rsidRDefault="005D3177" w:rsidP="00487458">
            <w:pPr>
              <w:pStyle w:val="ListParagraph"/>
              <w:numPr>
                <w:ilvl w:val="0"/>
                <w:numId w:val="5"/>
              </w:numPr>
              <w:ind w:right="5"/>
              <w:rPr>
                <w:rFonts w:ascii="Arial" w:hAnsi="Arial" w:cs="Arial"/>
                <w:sz w:val="20"/>
                <w:szCs w:val="20"/>
              </w:rPr>
            </w:pPr>
            <w:r>
              <w:rPr>
                <w:rFonts w:ascii="Arial" w:hAnsi="Arial" w:cs="Arial"/>
                <w:sz w:val="20"/>
                <w:szCs w:val="20"/>
              </w:rPr>
              <w:t xml:space="preserve">Collect field soil samples from ODOT and conduct erosion tests to determine the critical shear </w:t>
            </w:r>
            <w:proofErr w:type="gramStart"/>
            <w:r>
              <w:rPr>
                <w:rFonts w:ascii="Arial" w:hAnsi="Arial" w:cs="Arial"/>
                <w:sz w:val="20"/>
                <w:szCs w:val="20"/>
              </w:rPr>
              <w:t>stresses</w:t>
            </w:r>
            <w:proofErr w:type="gramEnd"/>
          </w:p>
          <w:p w14:paraId="0699CC9B" w14:textId="56FA88EC" w:rsidR="00487458" w:rsidRDefault="00487458"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t>
            </w:r>
            <w:r w:rsidR="002051A1">
              <w:rPr>
                <w:rFonts w:ascii="Arial" w:hAnsi="Arial" w:cs="Arial"/>
                <w:sz w:val="20"/>
                <w:szCs w:val="20"/>
              </w:rPr>
              <w:t xml:space="preserve">technical assistance to the MSDOT Lynch Creek Bridge project and the TNDOT I-55 Bridge </w:t>
            </w:r>
            <w:proofErr w:type="gramStart"/>
            <w:r w:rsidR="002051A1">
              <w:rPr>
                <w:rFonts w:ascii="Arial" w:hAnsi="Arial" w:cs="Arial"/>
                <w:sz w:val="20"/>
                <w:szCs w:val="20"/>
              </w:rPr>
              <w:t>project</w:t>
            </w:r>
            <w:proofErr w:type="gramEnd"/>
          </w:p>
          <w:p w14:paraId="37313341" w14:textId="355719A3" w:rsidR="005D3177" w:rsidRDefault="005D3177"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working on the FDOT </w:t>
            </w:r>
            <w:r w:rsidRPr="00487458">
              <w:rPr>
                <w:rFonts w:ascii="Arial" w:hAnsi="Arial" w:cs="Arial"/>
                <w:sz w:val="20"/>
                <w:szCs w:val="20"/>
              </w:rPr>
              <w:t xml:space="preserve">riprap study </w:t>
            </w:r>
            <w:proofErr w:type="gramStart"/>
            <w:r w:rsidRPr="00487458">
              <w:rPr>
                <w:rFonts w:ascii="Arial" w:hAnsi="Arial" w:cs="Arial"/>
                <w:sz w:val="20"/>
                <w:szCs w:val="20"/>
              </w:rPr>
              <w:t>report</w:t>
            </w:r>
            <w:proofErr w:type="gramEnd"/>
          </w:p>
          <w:p w14:paraId="554B0630" w14:textId="77777777" w:rsidR="00487458" w:rsidRDefault="00487458" w:rsidP="00487458">
            <w:pPr>
              <w:pStyle w:val="ListParagraph"/>
              <w:numPr>
                <w:ilvl w:val="0"/>
                <w:numId w:val="5"/>
              </w:numPr>
              <w:ind w:right="5"/>
              <w:rPr>
                <w:rFonts w:ascii="Arial" w:hAnsi="Arial" w:cs="Arial"/>
                <w:sz w:val="20"/>
                <w:szCs w:val="20"/>
              </w:rPr>
            </w:pPr>
            <w:r w:rsidRPr="003265F4">
              <w:rPr>
                <w:rFonts w:ascii="Arial" w:hAnsi="Arial" w:cs="Arial"/>
                <w:sz w:val="20"/>
                <w:szCs w:val="20"/>
              </w:rPr>
              <w:t xml:space="preserve">Activate the clay flume and prepare scour tests with pier, abutment and longitudinal walls in </w:t>
            </w:r>
            <w:proofErr w:type="gramStart"/>
            <w:r w:rsidRPr="003265F4">
              <w:rPr>
                <w:rFonts w:ascii="Arial" w:hAnsi="Arial" w:cs="Arial"/>
                <w:sz w:val="20"/>
                <w:szCs w:val="20"/>
              </w:rPr>
              <w:t>clay</w:t>
            </w:r>
            <w:proofErr w:type="gramEnd"/>
          </w:p>
          <w:p w14:paraId="279C457A" w14:textId="679D358F" w:rsidR="000A72EA" w:rsidRPr="000A72EA" w:rsidRDefault="000A72EA" w:rsidP="002051A1">
            <w:pPr>
              <w:pStyle w:val="ListParagraph"/>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75457D4E" w14:textId="77777777" w:rsidR="00621481" w:rsidRDefault="00621481" w:rsidP="00652DC0">
            <w:pPr>
              <w:ind w:right="5"/>
              <w:rPr>
                <w:rFonts w:ascii="Arial" w:eastAsia="Times New Roman" w:hAnsi="Arial" w:cs="Arial"/>
                <w:sz w:val="20"/>
                <w:szCs w:val="20"/>
              </w:rPr>
            </w:pPr>
          </w:p>
          <w:p w14:paraId="068FE7D0" w14:textId="77777777" w:rsidR="00601EBD" w:rsidRDefault="00601EBD" w:rsidP="002C33C0">
            <w:pPr>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A1E7" w14:textId="77777777" w:rsidR="00494A3B" w:rsidRDefault="00494A3B" w:rsidP="00106C83">
      <w:pPr>
        <w:spacing w:after="0" w:line="240" w:lineRule="auto"/>
      </w:pPr>
      <w:r>
        <w:separator/>
      </w:r>
    </w:p>
  </w:endnote>
  <w:endnote w:type="continuationSeparator" w:id="0">
    <w:p w14:paraId="348CDE23" w14:textId="77777777" w:rsidR="00494A3B" w:rsidRDefault="00494A3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2D4" w14:textId="0F5067BD" w:rsidR="00A43875" w:rsidRDefault="00A43875" w:rsidP="00E371D1">
    <w:pPr>
      <w:pStyle w:val="Footer"/>
      <w:ind w:left="-810"/>
    </w:pPr>
    <w:r>
      <w:t xml:space="preserve">TPF </w:t>
    </w:r>
    <w:r w:rsidR="00CC4E9A">
      <w:t>– 5(</w:t>
    </w:r>
    <w:r w:rsidR="00511639">
      <w:t>461</w:t>
    </w:r>
    <w:r w:rsidR="00CC4E9A">
      <w:t>) Q</w:t>
    </w:r>
    <w:r w:rsidR="00851FA0">
      <w:t>3</w:t>
    </w:r>
    <w:r w:rsidR="00CC4E9A">
      <w:t xml:space="preserve"> 20</w:t>
    </w:r>
    <w:r w:rsidR="00511639">
      <w:t>2</w:t>
    </w:r>
    <w:r w:rsidR="004A3738">
      <w:t>4</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DEE9" w14:textId="77777777" w:rsidR="00494A3B" w:rsidRDefault="00494A3B" w:rsidP="00106C83">
      <w:pPr>
        <w:spacing w:after="0" w:line="240" w:lineRule="auto"/>
      </w:pPr>
      <w:r>
        <w:separator/>
      </w:r>
    </w:p>
  </w:footnote>
  <w:footnote w:type="continuationSeparator" w:id="0">
    <w:p w14:paraId="0AA11A62" w14:textId="77777777" w:rsidR="00494A3B" w:rsidRDefault="00494A3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232015">
    <w:abstractNumId w:val="1"/>
  </w:num>
  <w:num w:numId="2" w16cid:durableId="947813157">
    <w:abstractNumId w:val="2"/>
  </w:num>
  <w:num w:numId="3" w16cid:durableId="1064255298">
    <w:abstractNumId w:val="0"/>
  </w:num>
  <w:num w:numId="4" w16cid:durableId="650914602">
    <w:abstractNumId w:val="5"/>
  </w:num>
  <w:num w:numId="5" w16cid:durableId="2032106379">
    <w:abstractNumId w:val="4"/>
  </w:num>
  <w:num w:numId="6" w16cid:durableId="112053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kwNKoFAGI0rhktAAAA"/>
  </w:docVars>
  <w:rsids>
    <w:rsidRoot w:val="00551D8A"/>
    <w:rsid w:val="00037FBC"/>
    <w:rsid w:val="00050BFF"/>
    <w:rsid w:val="00053A5B"/>
    <w:rsid w:val="000567EC"/>
    <w:rsid w:val="00064AD5"/>
    <w:rsid w:val="00071FBC"/>
    <w:rsid w:val="000736BB"/>
    <w:rsid w:val="00073FE2"/>
    <w:rsid w:val="000911A3"/>
    <w:rsid w:val="000940CD"/>
    <w:rsid w:val="00094907"/>
    <w:rsid w:val="00094911"/>
    <w:rsid w:val="000A720C"/>
    <w:rsid w:val="000A72EA"/>
    <w:rsid w:val="000B665A"/>
    <w:rsid w:val="000C6F7E"/>
    <w:rsid w:val="000D0ABA"/>
    <w:rsid w:val="000E6DCB"/>
    <w:rsid w:val="00106C83"/>
    <w:rsid w:val="00114B5B"/>
    <w:rsid w:val="001327DC"/>
    <w:rsid w:val="0013360C"/>
    <w:rsid w:val="001547D0"/>
    <w:rsid w:val="00161153"/>
    <w:rsid w:val="00176FB7"/>
    <w:rsid w:val="001873BD"/>
    <w:rsid w:val="001B7C44"/>
    <w:rsid w:val="001C631B"/>
    <w:rsid w:val="001D150C"/>
    <w:rsid w:val="001D63F4"/>
    <w:rsid w:val="002051A1"/>
    <w:rsid w:val="0021293D"/>
    <w:rsid w:val="0021446D"/>
    <w:rsid w:val="00293FD8"/>
    <w:rsid w:val="002A07AF"/>
    <w:rsid w:val="002A6B06"/>
    <w:rsid w:val="002A79C8"/>
    <w:rsid w:val="002A7F09"/>
    <w:rsid w:val="002B2E90"/>
    <w:rsid w:val="002C33C0"/>
    <w:rsid w:val="002E0895"/>
    <w:rsid w:val="00341EFB"/>
    <w:rsid w:val="00355987"/>
    <w:rsid w:val="00361F09"/>
    <w:rsid w:val="0038705A"/>
    <w:rsid w:val="003912C1"/>
    <w:rsid w:val="00396627"/>
    <w:rsid w:val="003D7EA5"/>
    <w:rsid w:val="00405B3A"/>
    <w:rsid w:val="004144E6"/>
    <w:rsid w:val="004156B2"/>
    <w:rsid w:val="00427459"/>
    <w:rsid w:val="00437734"/>
    <w:rsid w:val="0048154F"/>
    <w:rsid w:val="00485898"/>
    <w:rsid w:val="00487458"/>
    <w:rsid w:val="00494A3B"/>
    <w:rsid w:val="004A3738"/>
    <w:rsid w:val="004D2037"/>
    <w:rsid w:val="004D6EBD"/>
    <w:rsid w:val="004E14DC"/>
    <w:rsid w:val="004F49D5"/>
    <w:rsid w:val="004F5017"/>
    <w:rsid w:val="0050372F"/>
    <w:rsid w:val="00511639"/>
    <w:rsid w:val="0051196E"/>
    <w:rsid w:val="00525935"/>
    <w:rsid w:val="00535416"/>
    <w:rsid w:val="00535598"/>
    <w:rsid w:val="00547EE3"/>
    <w:rsid w:val="00551030"/>
    <w:rsid w:val="00551D8A"/>
    <w:rsid w:val="00557D63"/>
    <w:rsid w:val="00581B36"/>
    <w:rsid w:val="00583E8E"/>
    <w:rsid w:val="00584E2B"/>
    <w:rsid w:val="005A1D4E"/>
    <w:rsid w:val="005D3177"/>
    <w:rsid w:val="005E03AD"/>
    <w:rsid w:val="00601EBD"/>
    <w:rsid w:val="00621481"/>
    <w:rsid w:val="00635959"/>
    <w:rsid w:val="00652DC0"/>
    <w:rsid w:val="00682C5E"/>
    <w:rsid w:val="006A36A3"/>
    <w:rsid w:val="006B106E"/>
    <w:rsid w:val="006D1B38"/>
    <w:rsid w:val="006E4EA4"/>
    <w:rsid w:val="00701EEA"/>
    <w:rsid w:val="007159E2"/>
    <w:rsid w:val="00743C01"/>
    <w:rsid w:val="00790C4A"/>
    <w:rsid w:val="007A21B6"/>
    <w:rsid w:val="007B17D7"/>
    <w:rsid w:val="007E5BD2"/>
    <w:rsid w:val="00802EEB"/>
    <w:rsid w:val="00803C0F"/>
    <w:rsid w:val="008166AA"/>
    <w:rsid w:val="00851FA0"/>
    <w:rsid w:val="00872F18"/>
    <w:rsid w:val="00874EF7"/>
    <w:rsid w:val="00877A25"/>
    <w:rsid w:val="0088310D"/>
    <w:rsid w:val="008A6B37"/>
    <w:rsid w:val="008C091B"/>
    <w:rsid w:val="008C65BC"/>
    <w:rsid w:val="00906DBF"/>
    <w:rsid w:val="0096729F"/>
    <w:rsid w:val="00981283"/>
    <w:rsid w:val="0098577B"/>
    <w:rsid w:val="009D3C31"/>
    <w:rsid w:val="009E6837"/>
    <w:rsid w:val="009E6F32"/>
    <w:rsid w:val="009F1032"/>
    <w:rsid w:val="009F3AE6"/>
    <w:rsid w:val="009F71B0"/>
    <w:rsid w:val="00A01CEF"/>
    <w:rsid w:val="00A25ECE"/>
    <w:rsid w:val="00A43875"/>
    <w:rsid w:val="00A63677"/>
    <w:rsid w:val="00A759D6"/>
    <w:rsid w:val="00A767C8"/>
    <w:rsid w:val="00A905A3"/>
    <w:rsid w:val="00AC6DBC"/>
    <w:rsid w:val="00AE3C07"/>
    <w:rsid w:val="00AE46B0"/>
    <w:rsid w:val="00AE5E3B"/>
    <w:rsid w:val="00AF338F"/>
    <w:rsid w:val="00B2185C"/>
    <w:rsid w:val="00B242E2"/>
    <w:rsid w:val="00B63AF7"/>
    <w:rsid w:val="00B66A21"/>
    <w:rsid w:val="00B675FB"/>
    <w:rsid w:val="00BA622C"/>
    <w:rsid w:val="00BB13ED"/>
    <w:rsid w:val="00C13753"/>
    <w:rsid w:val="00C47901"/>
    <w:rsid w:val="00C6258F"/>
    <w:rsid w:val="00C71B20"/>
    <w:rsid w:val="00C72490"/>
    <w:rsid w:val="00C82DD9"/>
    <w:rsid w:val="00CA55F7"/>
    <w:rsid w:val="00CB499B"/>
    <w:rsid w:val="00CC0487"/>
    <w:rsid w:val="00CC0D0D"/>
    <w:rsid w:val="00CC4E9A"/>
    <w:rsid w:val="00CF54CD"/>
    <w:rsid w:val="00D05A62"/>
    <w:rsid w:val="00D05DC0"/>
    <w:rsid w:val="00D105D4"/>
    <w:rsid w:val="00D3705C"/>
    <w:rsid w:val="00D6286B"/>
    <w:rsid w:val="00D649B6"/>
    <w:rsid w:val="00D65820"/>
    <w:rsid w:val="00D72FEF"/>
    <w:rsid w:val="00D90098"/>
    <w:rsid w:val="00DC1B11"/>
    <w:rsid w:val="00DD2F76"/>
    <w:rsid w:val="00E26867"/>
    <w:rsid w:val="00E35E0F"/>
    <w:rsid w:val="00E36375"/>
    <w:rsid w:val="00E371D1"/>
    <w:rsid w:val="00E53738"/>
    <w:rsid w:val="00E6178F"/>
    <w:rsid w:val="00E665E9"/>
    <w:rsid w:val="00ED5F67"/>
    <w:rsid w:val="00EF08AE"/>
    <w:rsid w:val="00EF4187"/>
    <w:rsid w:val="00EF5790"/>
    <w:rsid w:val="00F30AAF"/>
    <w:rsid w:val="00F3476A"/>
    <w:rsid w:val="00FA0047"/>
    <w:rsid w:val="00FA4BA7"/>
    <w:rsid w:val="00FA7B31"/>
    <w:rsid w:val="00FC65B2"/>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1011</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 CTR (FHWA)</cp:lastModifiedBy>
  <cp:revision>3</cp:revision>
  <cp:lastPrinted>2011-06-21T20:32:00Z</cp:lastPrinted>
  <dcterms:created xsi:type="dcterms:W3CDTF">2024-10-11T16:15:00Z</dcterms:created>
  <dcterms:modified xsi:type="dcterms:W3CDTF">2024-10-11T16:16:00Z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