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2219E8EF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455BD6">
        <w:rPr>
          <w:rFonts w:ascii="Arial" w:hAnsi="Arial" w:cs="Arial"/>
          <w:sz w:val="24"/>
          <w:szCs w:val="24"/>
        </w:rPr>
        <w:t>7</w:t>
      </w:r>
      <w:r w:rsidR="00F97FA4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4635A357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2A3" w:rsidRPr="00EA36A7"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60191612" w:rsidR="00551D8A" w:rsidRPr="00EA36A7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26E925E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087A7EEC" w:rsidR="00535598" w:rsidRPr="00EA36A7" w:rsidRDefault="0055753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15DD4C45" w14:textId="7B971DC5" w:rsidR="00DF36E3" w:rsidRDefault="69D7F796" w:rsidP="0F1605BC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$365,000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with a breakdown as follows:</w:t>
            </w:r>
          </w:p>
          <w:p w14:paraId="65C3BC6B" w14:textId="77777777" w:rsidR="00DF36E3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04E68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Project management: $10,000</w:t>
            </w:r>
          </w:p>
          <w:p w14:paraId="6F6CB715" w14:textId="77777777" w:rsidR="00DF36E3" w:rsidRP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Administration of SSP PFS: $43,000</w:t>
            </w:r>
          </w:p>
          <w:p w14:paraId="38B88F86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SSP PFS Research Planning and Management:</w:t>
            </w:r>
          </w:p>
          <w:p w14:paraId="1B66DAED" w14:textId="77777777" w:rsid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DF36E3">
              <w:rPr>
                <w:rFonts w:ascii="Arial" w:hAnsi="Arial" w:cs="Arial"/>
                <w:bCs/>
                <w:sz w:val="20"/>
                <w:szCs w:val="20"/>
              </w:rPr>
              <w:t>$90,000</w:t>
            </w:r>
          </w:p>
          <w:p w14:paraId="53E9885E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SSP PFS Research Projects: $220,000</w:t>
            </w:r>
          </w:p>
          <w:p w14:paraId="412168EC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Outreach: $2,000</w:t>
            </w:r>
          </w:p>
          <w:p w14:paraId="39C2F95B" w14:textId="77777777" w:rsidR="00DF36E3" w:rsidRDefault="00DF36E3" w:rsidP="00DF36E3">
            <w:pPr>
              <w:pStyle w:val="ListParagraph"/>
              <w:numPr>
                <w:ilvl w:val="0"/>
                <w:numId w:val="26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Synthesis Reports: $0</w:t>
            </w:r>
          </w:p>
          <w:p w14:paraId="21308BA5" w14:textId="4028ABDD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5EF25657" w:rsidR="00F12476" w:rsidRPr="00EA36A7" w:rsidRDefault="00797F53" w:rsidP="00E62FC7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Kickoff Meeting </w:t>
            </w:r>
          </w:p>
          <w:p w14:paraId="46312C9B" w14:textId="152CA154" w:rsidR="004F02EE" w:rsidRDefault="00797F53" w:rsidP="005A5A34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The</w:t>
            </w:r>
            <w:r w:rsidR="003F5A90">
              <w:t xml:space="preserve"> members held a virtual kickoff meeting </w:t>
            </w:r>
            <w:r w:rsidR="007571F5">
              <w:t>on May 24</w:t>
            </w:r>
            <w:r w:rsidR="007571F5" w:rsidRPr="007571F5">
              <w:rPr>
                <w:vertAlign w:val="superscript"/>
              </w:rPr>
              <w:t>th</w:t>
            </w:r>
            <w:r w:rsidR="007571F5">
              <w:t xml:space="preserve"> </w:t>
            </w:r>
            <w:r w:rsidR="003F5A90">
              <w:t>to discuss the goals of the study</w:t>
            </w:r>
            <w:r w:rsidR="007571F5">
              <w:t xml:space="preserve"> and meeting cadence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8AC766" w14:textId="77777777" w:rsidR="00F97FA4" w:rsidRDefault="00F97FA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153D0EF0" w14:textId="46D5B4B7" w:rsidR="00F97FA4" w:rsidRPr="00EA36A7" w:rsidRDefault="00F97FA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members will meet on October 24</w:t>
            </w:r>
            <w:r w:rsidRPr="00F97FA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to plan the ongoing research and discuss the direction of the pooled fund </w:t>
            </w:r>
          </w:p>
          <w:p w14:paraId="2F7DA3F7" w14:textId="57A2D0BB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1EBB572" w14:textId="74238A97" w:rsidR="003323B9" w:rsidRDefault="003323B9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draft SOW for the research will be submitted to the members for feedback 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30D19F42" w:rsidR="006513C6" w:rsidRDefault="003323B9" w:rsidP="003323B9">
            <w:pPr>
              <w:ind w:left="720" w:right="9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file sharing structure will be created for the members to share documents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45355C18" w:rsidR="00C15A1B" w:rsidRDefault="003323B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287A7C">
              <w:rPr>
                <w:rFonts w:ascii="Arial" w:hAnsi="Arial" w:cs="Arial"/>
                <w:sz w:val="20"/>
                <w:szCs w:val="20"/>
              </w:rPr>
              <w:t xml:space="preserve"> study members convened for the first time and </w:t>
            </w:r>
            <w:r w:rsidR="00A72AA2">
              <w:rPr>
                <w:rFonts w:ascii="Arial" w:hAnsi="Arial" w:cs="Arial"/>
                <w:sz w:val="20"/>
                <w:szCs w:val="20"/>
              </w:rPr>
              <w:t xml:space="preserve">developed a plan for research. They additionally agreed on a meeting cadence.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BF3EF" w14:textId="77777777" w:rsidR="00FF742C" w:rsidRDefault="00FF742C" w:rsidP="00106C83">
      <w:pPr>
        <w:spacing w:after="0" w:line="240" w:lineRule="auto"/>
      </w:pPr>
      <w:r>
        <w:separator/>
      </w:r>
    </w:p>
  </w:endnote>
  <w:endnote w:type="continuationSeparator" w:id="0">
    <w:p w14:paraId="450BE1E9" w14:textId="77777777" w:rsidR="00FF742C" w:rsidRDefault="00FF742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933F9" w14:textId="77777777" w:rsidR="00FF742C" w:rsidRDefault="00FF742C" w:rsidP="00106C83">
      <w:pPr>
        <w:spacing w:after="0" w:line="240" w:lineRule="auto"/>
      </w:pPr>
      <w:r>
        <w:separator/>
      </w:r>
    </w:p>
  </w:footnote>
  <w:footnote w:type="continuationSeparator" w:id="0">
    <w:p w14:paraId="28D6DEAA" w14:textId="77777777" w:rsidR="00FF742C" w:rsidRDefault="00FF742C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2328BAB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87A7C"/>
    <w:rsid w:val="00292C2E"/>
    <w:rsid w:val="00293FD8"/>
    <w:rsid w:val="002A79C8"/>
    <w:rsid w:val="002F25FD"/>
    <w:rsid w:val="002F2653"/>
    <w:rsid w:val="00307FAE"/>
    <w:rsid w:val="003274B0"/>
    <w:rsid w:val="003323B9"/>
    <w:rsid w:val="003441BB"/>
    <w:rsid w:val="00344FF7"/>
    <w:rsid w:val="003452CC"/>
    <w:rsid w:val="00373057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5A90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55BD6"/>
    <w:rsid w:val="004633CD"/>
    <w:rsid w:val="00465834"/>
    <w:rsid w:val="00474694"/>
    <w:rsid w:val="00496471"/>
    <w:rsid w:val="004E14DC"/>
    <w:rsid w:val="004E22BA"/>
    <w:rsid w:val="004E6596"/>
    <w:rsid w:val="004F02EE"/>
    <w:rsid w:val="004F2802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530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702A3"/>
    <w:rsid w:val="00682C5E"/>
    <w:rsid w:val="00684B6F"/>
    <w:rsid w:val="006A250B"/>
    <w:rsid w:val="006A2E5F"/>
    <w:rsid w:val="006B122F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71F5"/>
    <w:rsid w:val="007575E7"/>
    <w:rsid w:val="00757932"/>
    <w:rsid w:val="00757E27"/>
    <w:rsid w:val="00773925"/>
    <w:rsid w:val="00790C4A"/>
    <w:rsid w:val="00797F53"/>
    <w:rsid w:val="007A6973"/>
    <w:rsid w:val="007B5486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4288F"/>
    <w:rsid w:val="00A43875"/>
    <w:rsid w:val="00A63677"/>
    <w:rsid w:val="00A71198"/>
    <w:rsid w:val="00A72AA2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C04DC2"/>
    <w:rsid w:val="00C13753"/>
    <w:rsid w:val="00C15A1B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97FA4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0FF742C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3171</Characters>
  <Application>Microsoft Office Word</Application>
  <DocSecurity>0</DocSecurity>
  <Lines>26</Lines>
  <Paragraphs>7</Paragraphs>
  <ScaleCrop>false</ScaleCrop>
  <Company>DOT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2024-07-23T17:20:00Z</dcterms:created>
  <dcterms:modified xsi:type="dcterms:W3CDTF">2024-07-23T17:20:00Z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