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279986B3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652B49">
        <w:rPr>
          <w:rFonts w:ascii="Arial" w:hAnsi="Arial" w:cs="Arial"/>
          <w:sz w:val="24"/>
          <w:szCs w:val="24"/>
        </w:rPr>
        <w:t>1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652B49">
        <w:rPr>
          <w:rFonts w:ascii="Arial" w:hAnsi="Arial" w:cs="Arial"/>
          <w:sz w:val="24"/>
          <w:szCs w:val="24"/>
        </w:rPr>
        <w:t>11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</w:t>
      </w:r>
      <w:r w:rsidR="00652B49">
        <w:rPr>
          <w:rFonts w:ascii="Arial" w:hAnsi="Arial" w:cs="Arial"/>
          <w:sz w:val="24"/>
          <w:szCs w:val="24"/>
        </w:rPr>
        <w:t>4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7E901A03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B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30035B9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44A9A6A6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2F38BB00" w14:textId="07899605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6226">
              <w:rPr>
                <w:rFonts w:ascii="Arial" w:hAnsi="Arial" w:cs="Arial"/>
                <w:sz w:val="20"/>
                <w:szCs w:val="20"/>
              </w:rPr>
              <w:t xml:space="preserve">X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7100FBEB" w:rsidR="00535598" w:rsidRPr="00EA36A7" w:rsidRDefault="00C75AB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B65B9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909FB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D909FB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08B89D9E" w:rsidR="00971287" w:rsidRPr="003D4144" w:rsidRDefault="69D7F796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 w:rsidR="006D0C10">
              <w:rPr>
                <w:rFonts w:ascii="Arial" w:hAnsi="Arial" w:cs="Arial"/>
                <w:sz w:val="20"/>
                <w:szCs w:val="20"/>
              </w:rPr>
              <w:t>955,000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144"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759675F" w:rsidR="00DB08BB" w:rsidRDefault="007D0EDC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Work on the </w:t>
            </w:r>
            <w:r w:rsidR="00290F59">
              <w:t xml:space="preserve">initial draft of the research report began 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19E9A216" w:rsidR="00625437" w:rsidRDefault="00290F59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Meeting</w:t>
            </w:r>
          </w:p>
          <w:p w14:paraId="2E87A820" w14:textId="269343D7" w:rsidR="004F02EE" w:rsidRPr="00EB65B9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0F59">
              <w:rPr>
                <w:rFonts w:ascii="Arial" w:hAnsi="Arial" w:cs="Arial"/>
                <w:sz w:val="20"/>
                <w:szCs w:val="20"/>
              </w:rPr>
              <w:t xml:space="preserve">quarterly call took place on </w:t>
            </w:r>
            <w:r w:rsidR="006D0C10">
              <w:rPr>
                <w:rFonts w:ascii="Arial" w:hAnsi="Arial" w:cs="Arial"/>
                <w:sz w:val="20"/>
                <w:szCs w:val="20"/>
              </w:rPr>
              <w:t>November 1st</w:t>
            </w:r>
            <w:r w:rsidR="00290F59">
              <w:rPr>
                <w:rFonts w:ascii="Arial" w:hAnsi="Arial" w:cs="Arial"/>
                <w:sz w:val="20"/>
                <w:szCs w:val="20"/>
              </w:rPr>
              <w:t>, 2023</w:t>
            </w:r>
          </w:p>
          <w:p w14:paraId="3D8FB751" w14:textId="79A0ABCC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40E5F7E8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D909FB">
              <w:rPr>
                <w:rFonts w:ascii="Arial" w:hAnsi="Arial" w:cs="Arial"/>
                <w:sz w:val="20"/>
                <w:szCs w:val="20"/>
              </w:rPr>
              <w:t xml:space="preserve">Quarterly call will take place on </w:t>
            </w:r>
            <w:r w:rsidR="006D0C10">
              <w:rPr>
                <w:rFonts w:ascii="Arial" w:hAnsi="Arial" w:cs="Arial"/>
                <w:sz w:val="20"/>
                <w:szCs w:val="20"/>
              </w:rPr>
              <w:t>January 30</w:t>
            </w:r>
            <w:r w:rsidR="006D0C10" w:rsidRPr="006D0C1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6D0C10">
              <w:rPr>
                <w:rFonts w:ascii="Arial" w:hAnsi="Arial" w:cs="Arial"/>
                <w:sz w:val="20"/>
                <w:szCs w:val="20"/>
              </w:rPr>
              <w:t>, 2024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D6792BA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lastRenderedPageBreak/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BA17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C5DE" w14:textId="77777777" w:rsidR="00EA0CBF" w:rsidRDefault="00EA0CBF" w:rsidP="00106C83">
      <w:pPr>
        <w:spacing w:after="0" w:line="240" w:lineRule="auto"/>
      </w:pPr>
      <w:r>
        <w:separator/>
      </w:r>
    </w:p>
  </w:endnote>
  <w:endnote w:type="continuationSeparator" w:id="0">
    <w:p w14:paraId="7A3F69C3" w14:textId="77777777" w:rsidR="00EA0CBF" w:rsidRDefault="00EA0CB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25403" w14:textId="77777777" w:rsidR="00EA0CBF" w:rsidRDefault="00EA0CBF" w:rsidP="00106C83">
      <w:pPr>
        <w:spacing w:after="0" w:line="240" w:lineRule="auto"/>
      </w:pPr>
      <w:r>
        <w:separator/>
      </w:r>
    </w:p>
  </w:footnote>
  <w:footnote w:type="continuationSeparator" w:id="0">
    <w:p w14:paraId="531C4729" w14:textId="77777777" w:rsidR="00EA0CBF" w:rsidRDefault="00EA0CBF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3011586"/>
      <w:docPartObj>
        <w:docPartGallery w:val="Watermarks"/>
        <w:docPartUnique/>
      </w:docPartObj>
    </w:sdtPr>
    <w:sdtContent>
      <w:p w14:paraId="2AE4D23A" w14:textId="3D195D5C" w:rsidR="00447A95" w:rsidRDefault="00000000">
        <w:pPr>
          <w:pStyle w:val="Header"/>
        </w:pPr>
        <w:r>
          <w:rPr>
            <w:noProof/>
          </w:rPr>
          <w:pict w14:anchorId="0628E82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32D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0DE0"/>
    <w:rsid w:val="00125FE7"/>
    <w:rsid w:val="00151FBD"/>
    <w:rsid w:val="00152D00"/>
    <w:rsid w:val="001547D0"/>
    <w:rsid w:val="00161153"/>
    <w:rsid w:val="00161374"/>
    <w:rsid w:val="00180C5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57A5D"/>
    <w:rsid w:val="0026426B"/>
    <w:rsid w:val="0027465F"/>
    <w:rsid w:val="00290F59"/>
    <w:rsid w:val="00292C2E"/>
    <w:rsid w:val="00293FD8"/>
    <w:rsid w:val="002A79C8"/>
    <w:rsid w:val="002F25FD"/>
    <w:rsid w:val="002F2653"/>
    <w:rsid w:val="00307FAE"/>
    <w:rsid w:val="00314E0D"/>
    <w:rsid w:val="00324CFD"/>
    <w:rsid w:val="003274B0"/>
    <w:rsid w:val="003441BB"/>
    <w:rsid w:val="00344FF7"/>
    <w:rsid w:val="003452CC"/>
    <w:rsid w:val="003669E9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F248A"/>
    <w:rsid w:val="003F40B4"/>
    <w:rsid w:val="003F70F7"/>
    <w:rsid w:val="00402E47"/>
    <w:rsid w:val="004144E6"/>
    <w:rsid w:val="004156B2"/>
    <w:rsid w:val="00427020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52B49"/>
    <w:rsid w:val="0066385F"/>
    <w:rsid w:val="00682C5E"/>
    <w:rsid w:val="00684B6F"/>
    <w:rsid w:val="006A2E5F"/>
    <w:rsid w:val="006B122F"/>
    <w:rsid w:val="006C0180"/>
    <w:rsid w:val="006C1E61"/>
    <w:rsid w:val="006C5F1A"/>
    <w:rsid w:val="006D0C10"/>
    <w:rsid w:val="006D3A50"/>
    <w:rsid w:val="00704659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73925"/>
    <w:rsid w:val="00790C4A"/>
    <w:rsid w:val="007A6973"/>
    <w:rsid w:val="007B518D"/>
    <w:rsid w:val="007B5486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41449"/>
    <w:rsid w:val="0084578D"/>
    <w:rsid w:val="00845AE2"/>
    <w:rsid w:val="008477A4"/>
    <w:rsid w:val="00872F18"/>
    <w:rsid w:val="00874EF7"/>
    <w:rsid w:val="00876993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6226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31978"/>
    <w:rsid w:val="00A4288F"/>
    <w:rsid w:val="00A43875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A17D5"/>
    <w:rsid w:val="00BC1575"/>
    <w:rsid w:val="00BC1813"/>
    <w:rsid w:val="00C04DC2"/>
    <w:rsid w:val="00C1358D"/>
    <w:rsid w:val="00C13753"/>
    <w:rsid w:val="00C15A1B"/>
    <w:rsid w:val="00C26401"/>
    <w:rsid w:val="00C27350"/>
    <w:rsid w:val="00C47933"/>
    <w:rsid w:val="00C62E11"/>
    <w:rsid w:val="00C67D6D"/>
    <w:rsid w:val="00C75AB6"/>
    <w:rsid w:val="00C77E79"/>
    <w:rsid w:val="00C84DC2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09FB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0CBF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2024-07-23T17:17:00Z</dcterms:created>
  <dcterms:modified xsi:type="dcterms:W3CDTF">2024-07-23T17:17:00Z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