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971" w:rsidRDefault="00021A37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TRANSPORTATION POOLED FUND PROGRAM</w:t>
      </w:r>
    </w:p>
    <w:p w:rsidR="003B1971" w:rsidRDefault="00021A37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QUARTERLY PROGRESS REPORT</w:t>
      </w:r>
    </w:p>
    <w:p w:rsidR="003B1971" w:rsidRDefault="003B1971">
      <w:pPr>
        <w:spacing w:after="0"/>
        <w:rPr>
          <w:rFonts w:ascii="Arial" w:eastAsia="Arial" w:hAnsi="Arial" w:cs="Arial"/>
          <w:sz w:val="24"/>
          <w:szCs w:val="24"/>
        </w:rPr>
      </w:pPr>
    </w:p>
    <w:p w:rsidR="003B1971" w:rsidRDefault="00021A37">
      <w:pPr>
        <w:spacing w:after="0"/>
        <w:ind w:left="-720" w:right="-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Lead Agency:  Utah Department of Transportation</w:t>
      </w:r>
    </w:p>
    <w:p w:rsidR="003B1971" w:rsidRDefault="003B1971">
      <w:pPr>
        <w:spacing w:after="0"/>
        <w:rPr>
          <w:rFonts w:ascii="Arial" w:eastAsia="Arial" w:hAnsi="Arial" w:cs="Arial"/>
          <w:sz w:val="24"/>
          <w:szCs w:val="24"/>
        </w:rPr>
      </w:pPr>
    </w:p>
    <w:p w:rsidR="003B1971" w:rsidRDefault="00021A37">
      <w:pPr>
        <w:spacing w:after="0"/>
        <w:ind w:left="-720"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INSTRUCTIONS:</w:t>
      </w:r>
    </w:p>
    <w:p w:rsidR="003B1971" w:rsidRDefault="00021A37">
      <w:pPr>
        <w:spacing w:after="0"/>
        <w:ind w:left="-720" w:right="-72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</w:t>
      </w:r>
      <w:r>
        <w:rPr>
          <w:rFonts w:ascii="Arial" w:eastAsia="Arial" w:hAnsi="Arial" w:cs="Arial"/>
          <w:i/>
          <w:sz w:val="20"/>
          <w:szCs w:val="20"/>
        </w:rPr>
        <w:t>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3B1971" w:rsidRDefault="003B1971">
      <w:pPr>
        <w:spacing w:after="0"/>
        <w:ind w:left="-720" w:right="-720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530"/>
        <w:gridCol w:w="2137"/>
        <w:gridCol w:w="3353"/>
      </w:tblGrid>
      <w:tr w:rsidR="003B1971">
        <w:trPr>
          <w:trHeight w:val="1997"/>
        </w:trPr>
        <w:tc>
          <w:tcPr>
            <w:tcW w:w="5418" w:type="dxa"/>
            <w:gridSpan w:val="2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Trans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portation Pooled Fund Program Project #</w:t>
            </w:r>
          </w:p>
          <w:p w:rsidR="003B1971" w:rsidRDefault="003B1971">
            <w:pPr>
              <w:spacing w:after="0" w:line="240" w:lineRule="auto"/>
              <w:ind w:right="-108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ind w:right="-108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TPF-5(476) </w:t>
            </w:r>
          </w:p>
        </w:tc>
        <w:tc>
          <w:tcPr>
            <w:tcW w:w="5490" w:type="dxa"/>
            <w:gridSpan w:val="2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  <w:u w:val="single"/>
              </w:rPr>
              <w:t>X</w:t>
            </w:r>
            <w:r>
              <w:rPr>
                <w:rFonts w:ascii="Arial" w:eastAsia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Quarter 1 (January 1 – March 31, 2024)</w:t>
            </w:r>
          </w:p>
          <w:p w:rsidR="003B1971" w:rsidRDefault="00021A37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>_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Quarter 2 (April 1 – June 30, 2024)</w:t>
            </w:r>
          </w:p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>_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Quarter 3 (July 1 – September 30, 2024)</w:t>
            </w:r>
          </w:p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6"/>
                <w:szCs w:val="36"/>
                <w:u w:val="single"/>
              </w:rPr>
              <w:t>_</w:t>
            </w: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Quarter 4 (October 1 – December 31, 2024)</w:t>
            </w:r>
          </w:p>
        </w:tc>
      </w:tr>
      <w:tr w:rsidR="003B1971">
        <w:tc>
          <w:tcPr>
            <w:tcW w:w="10908" w:type="dxa"/>
            <w:gridSpan w:val="4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Title:</w:t>
            </w:r>
          </w:p>
          <w:p w:rsidR="003B1971" w:rsidRDefault="00021A37">
            <w:pPr>
              <w:spacing w:after="0" w:line="240" w:lineRule="auto"/>
              <w:ind w:right="-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Western Alliance for Quality Transportation Construction (WAQTC)</w:t>
            </w:r>
            <w: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2021-2025</w:t>
            </w:r>
          </w:p>
          <w:p w:rsidR="003B1971" w:rsidRDefault="003B1971">
            <w:pPr>
              <w:spacing w:after="0" w:line="240" w:lineRule="auto"/>
              <w:ind w:right="-7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1971">
        <w:tc>
          <w:tcPr>
            <w:tcW w:w="3888" w:type="dxa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 of Project Manager(s):</w:t>
            </w:r>
          </w:p>
          <w:p w:rsidR="003B1971" w:rsidRDefault="00021A37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Scott Nussbaum</w:t>
            </w:r>
          </w:p>
        </w:tc>
        <w:tc>
          <w:tcPr>
            <w:tcW w:w="3667" w:type="dxa"/>
            <w:gridSpan w:val="2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Phone Number:</w:t>
            </w:r>
          </w:p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</w:t>
            </w:r>
          </w:p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snussbaum@utah.gov</w:t>
            </w:r>
          </w:p>
          <w:p w:rsidR="003B1971" w:rsidRDefault="003B1971">
            <w:pPr>
              <w:spacing w:after="0" w:line="240" w:lineRule="auto"/>
              <w:ind w:left="-108"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B1971">
        <w:tc>
          <w:tcPr>
            <w:tcW w:w="3888" w:type="dxa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Lead Agency Project ID:</w:t>
            </w:r>
          </w:p>
          <w:p w:rsidR="003B1971" w:rsidRDefault="00021A37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FINET 42102, PIN 19538</w:t>
            </w:r>
          </w:p>
        </w:tc>
        <w:tc>
          <w:tcPr>
            <w:tcW w:w="3667" w:type="dxa"/>
            <w:gridSpan w:val="2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Other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Project ID (i.e., contract #):</w:t>
            </w:r>
          </w:p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UDOT Contract No. 22-9061</w:t>
            </w:r>
          </w:p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UDOT Contract No. 24-8370</w:t>
            </w:r>
          </w:p>
          <w:p w:rsidR="003B1971" w:rsidRDefault="003B1971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Start Date:</w:t>
            </w:r>
          </w:p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April 1, 2021 (pooled fund)</w:t>
            </w:r>
          </w:p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April 28, 2022 (1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October 2, 2023 (2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</w:tc>
      </w:tr>
      <w:tr w:rsidR="003B1971">
        <w:tc>
          <w:tcPr>
            <w:tcW w:w="3888" w:type="dxa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Original Project End Date:</w:t>
            </w:r>
          </w:p>
          <w:p w:rsidR="003B1971" w:rsidRDefault="00021A37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September 30, 2025 (pooled fund)</w:t>
            </w:r>
          </w:p>
        </w:tc>
        <w:tc>
          <w:tcPr>
            <w:tcW w:w="3667" w:type="dxa"/>
            <w:gridSpan w:val="2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Current Project End Date:</w:t>
            </w:r>
          </w:p>
          <w:p w:rsidR="003B1971" w:rsidRDefault="00021A37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April 30, 2024 (1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 SOW)</w:t>
            </w:r>
          </w:p>
          <w:p w:rsidR="003B1971" w:rsidRDefault="00021A37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August 31, 2024 (2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 SOW)</w:t>
            </w:r>
          </w:p>
          <w:p w:rsidR="003B1971" w:rsidRDefault="00021A37">
            <w:pPr>
              <w:spacing w:after="0" w:line="240" w:lineRule="auto"/>
              <w:ind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September 30, 2025 (pooled fund)</w:t>
            </w:r>
          </w:p>
        </w:tc>
        <w:tc>
          <w:tcPr>
            <w:tcW w:w="3353" w:type="dxa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Number of Extensions:</w:t>
            </w:r>
          </w:p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contract: 3 mods/extensions</w:t>
            </w:r>
          </w:p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contract: no mods/extensions</w:t>
            </w:r>
          </w:p>
          <w:p w:rsidR="003B1971" w:rsidRDefault="003B1971">
            <w:pPr>
              <w:spacing w:after="0" w:line="240" w:lineRule="auto"/>
              <w:ind w:left="-108"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3B1971" w:rsidRDefault="003B1971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:rsidR="003B1971" w:rsidRDefault="00021A37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Project schedule status:</w:t>
      </w:r>
    </w:p>
    <w:p w:rsidR="003B1971" w:rsidRDefault="003B1971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:rsidR="003B1971" w:rsidRDefault="00021A37">
      <w:pPr>
        <w:spacing w:after="0"/>
        <w:ind w:left="-720" w:right="-7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X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schedule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 On revised schedule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 Ahead of schedule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 Behind schedule</w:t>
      </w:r>
    </w:p>
    <w:p w:rsidR="003B1971" w:rsidRDefault="003B1971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:rsidR="003B1971" w:rsidRDefault="00021A37">
      <w:pPr>
        <w:tabs>
          <w:tab w:val="left" w:pos="1230"/>
        </w:tabs>
        <w:spacing w:after="0"/>
        <w:ind w:left="-720"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Overall Project Statistics:</w:t>
      </w:r>
    </w:p>
    <w:tbl>
      <w:tblPr>
        <w:tblStyle w:val="a7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3330"/>
        <w:gridCol w:w="3420"/>
      </w:tblGrid>
      <w:tr w:rsidR="003B1971">
        <w:tc>
          <w:tcPr>
            <w:tcW w:w="4158" w:type="dxa"/>
            <w:shd w:val="clear" w:color="auto" w:fill="D9D9D9"/>
          </w:tcPr>
          <w:p w:rsidR="003B1971" w:rsidRDefault="00021A37">
            <w:pPr>
              <w:spacing w:after="0" w:line="240" w:lineRule="auto"/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clear" w:color="auto" w:fill="D9D9D9"/>
          </w:tcPr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clear" w:color="auto" w:fill="D9D9D9"/>
          </w:tcPr>
          <w:p w:rsidR="003B1971" w:rsidRDefault="00021A37">
            <w:pPr>
              <w:spacing w:after="0" w:line="240" w:lineRule="auto"/>
              <w:ind w:left="-108"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3B1971">
        <w:tc>
          <w:tcPr>
            <w:tcW w:w="4158" w:type="dxa"/>
            <w:vAlign w:val="center"/>
          </w:tcPr>
          <w:p w:rsidR="003B1971" w:rsidRDefault="00021A37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commitments = $444,000.00</w:t>
            </w:r>
          </w:p>
          <w:p w:rsidR="003B1971" w:rsidRDefault="00021A37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Current obligated funds = $574,054.65</w:t>
            </w:r>
          </w:p>
          <w:p w:rsidR="003B1971" w:rsidRDefault="00021A37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 amount = $248,454.08</w:t>
            </w:r>
          </w:p>
          <w:p w:rsidR="003B1971" w:rsidRDefault="00021A37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 amount = $150,098.75</w:t>
            </w:r>
          </w:p>
          <w:p w:rsidR="003B1971" w:rsidRDefault="00021A37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Fund balance not on contract = $175,501.82</w:t>
            </w:r>
          </w:p>
        </w:tc>
        <w:tc>
          <w:tcPr>
            <w:tcW w:w="3330" w:type="dxa"/>
            <w:vAlign w:val="center"/>
          </w:tcPr>
          <w:p w:rsidR="003B1971" w:rsidRDefault="00021A37">
            <w:pPr>
              <w:spacing w:after="0" w:line="240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$191,420.80 (from 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  <w:p w:rsidR="003B1971" w:rsidRDefault="00021A37">
            <w:pPr>
              <w:spacing w:after="0" w:line="240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$35,982.45 (from 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  <w:p w:rsidR="003B1971" w:rsidRDefault="00021A37">
            <w:pPr>
              <w:spacing w:after="0" w:line="240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$0.00 (contract management)</w:t>
            </w:r>
          </w:p>
        </w:tc>
        <w:tc>
          <w:tcPr>
            <w:tcW w:w="3420" w:type="dxa"/>
            <w:vAlign w:val="center"/>
          </w:tcPr>
          <w:p w:rsidR="003B1971" w:rsidRDefault="00021A37">
            <w:pPr>
              <w:spacing w:after="0" w:line="240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3B1971" w:rsidRDefault="003B1971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p w:rsidR="003B1971" w:rsidRDefault="00021A37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Quarterly</w:t>
      </w:r>
      <w:r>
        <w:rPr>
          <w:rFonts w:ascii="Arial" w:eastAsia="Arial" w:hAnsi="Arial" w:cs="Arial"/>
          <w:sz w:val="20"/>
          <w:szCs w:val="20"/>
        </w:rPr>
        <w:t xml:space="preserve"> Project Statistics:</w:t>
      </w:r>
    </w:p>
    <w:tbl>
      <w:tblPr>
        <w:tblStyle w:val="a8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3330"/>
        <w:gridCol w:w="3420"/>
      </w:tblGrid>
      <w:tr w:rsidR="003B1971">
        <w:tc>
          <w:tcPr>
            <w:tcW w:w="4158" w:type="dxa"/>
            <w:shd w:val="clear" w:color="auto" w:fill="D9D9D9"/>
          </w:tcPr>
          <w:p w:rsidR="003B1971" w:rsidRDefault="00021A37">
            <w:pPr>
              <w:spacing w:after="0" w:line="240" w:lineRule="auto"/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clear" w:color="auto" w:fill="D9D9D9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clear" w:color="auto" w:fill="D9D9D9"/>
          </w:tcPr>
          <w:p w:rsidR="003B1971" w:rsidRDefault="00021A37">
            <w:pPr>
              <w:spacing w:after="0" w:line="240" w:lineRule="auto"/>
              <w:ind w:right="-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3B1971" w:rsidRDefault="00021A37">
            <w:pPr>
              <w:spacing w:after="0" w:line="240" w:lineRule="auto"/>
              <w:ind w:left="-108"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3B1971">
        <w:tc>
          <w:tcPr>
            <w:tcW w:w="4158" w:type="dxa"/>
          </w:tcPr>
          <w:p w:rsidR="003B1971" w:rsidRDefault="00021A37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0% (1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  <w:p w:rsidR="003B1971" w:rsidRDefault="00021A37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19% (2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330" w:type="dxa"/>
          </w:tcPr>
          <w:p w:rsidR="003B1971" w:rsidRDefault="00021A37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$0.00 (1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  <w:p w:rsidR="003B1971" w:rsidRDefault="00021A37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$28,326.40 (2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420" w:type="dxa"/>
          </w:tcPr>
          <w:p w:rsidR="003B1971" w:rsidRDefault="00021A37">
            <w:pPr>
              <w:spacing w:after="0" w:line="240" w:lineRule="auto"/>
              <w:ind w:left="-108" w:right="-1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67% (project)</w:t>
            </w:r>
          </w:p>
        </w:tc>
      </w:tr>
    </w:tbl>
    <w:p w:rsidR="003B1971" w:rsidRDefault="003B1971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a9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3B1971">
        <w:tc>
          <w:tcPr>
            <w:tcW w:w="10908" w:type="dxa"/>
          </w:tcPr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training,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and technology deployment.</w:t>
            </w:r>
          </w:p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WAQTC Mission Statement is to: “Provide leadership in the pursuit of continuously improving quality in transportation construction.” An Executive Board consisting of at least one representative of each member agency governs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the WAQTC. Through our partnership, we will: </w:t>
            </w: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respond in a unified and consistent manner to identified quality improvement needs and new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technologies that impact the products that we provide </w:t>
            </w: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provide reciprocity for Qualified testing technicians among 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ccredited Agencies  </w:t>
            </w:r>
          </w:p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TPF-5(476) funds the continued development and refinement of the TTQP, including: </w:t>
            </w: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Distributing 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raining materials, including training manuals, PowerPoint presentations, and written and practical exams, to member states; </w:t>
            </w: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 Developing and presenting proposed revisions and new standards to the AASHTO Subcommittee 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Materials. </w:t>
            </w:r>
          </w:p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B1971" w:rsidRDefault="003B1971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a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3B1971">
        <w:tc>
          <w:tcPr>
            <w:tcW w:w="10908" w:type="dxa"/>
          </w:tcPr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55F79">
              <w:rPr>
                <w:rFonts w:ascii="Arial" w:eastAsia="Arial" w:hAnsi="Arial" w:cs="Arial"/>
                <w:b/>
                <w:sz w:val="20"/>
                <w:szCs w:val="20"/>
              </w:rPr>
              <w:t>Progress this Quarter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(includes meetings, work plan status, contract status, significant progress, etc.)</w:t>
            </w:r>
          </w:p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Meetings:</w:t>
            </w:r>
          </w:p>
          <w:p w:rsidR="003B1971" w:rsidRDefault="00021A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WAQTC Qualification Advisory Committee winter meeting</w:t>
            </w:r>
          </w:p>
          <w:p w:rsidR="003B1971" w:rsidRDefault="00021A3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Eugene</w:t>
            </w:r>
            <w:r w:rsidR="003C2FBF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Oregon</w:t>
            </w:r>
          </w:p>
          <w:p w:rsidR="003B1971" w:rsidRDefault="00021A3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and propose revisions to AASHTO Standards for:</w:t>
            </w:r>
          </w:p>
          <w:p w:rsidR="003B1971" w:rsidRDefault="00021A37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Embankment/Base, and In-Place Density Test Methods</w:t>
            </w:r>
          </w:p>
          <w:p w:rsidR="003B1971" w:rsidRDefault="00021A37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Concrete Test Methods</w:t>
            </w:r>
          </w:p>
          <w:p w:rsidR="003B1971" w:rsidRDefault="00021A37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Aggregate Test Methods</w:t>
            </w:r>
          </w:p>
          <w:p w:rsidR="003B1971" w:rsidRDefault="00021A37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Asphalt and Binder Test Methods</w:t>
            </w:r>
          </w:p>
          <w:p w:rsidR="003B1971" w:rsidRDefault="00021A3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and revise field operating procedures and performance exam checklists</w:t>
            </w:r>
          </w:p>
          <w:p w:rsidR="003B1971" w:rsidRDefault="00021A37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Incorporate recent AASHTO revisions</w:t>
            </w:r>
          </w:p>
          <w:p w:rsidR="003B1971" w:rsidRDefault="00021A3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and prop</w:t>
            </w:r>
            <w:r>
              <w:rPr>
                <w:rFonts w:ascii="Arial" w:eastAsia="Arial" w:hAnsi="Arial" w:cs="Arial"/>
                <w:sz w:val="20"/>
                <w:szCs w:val="20"/>
              </w:rPr>
              <w:t>ose revisions for the WAQTC documents:</w:t>
            </w:r>
          </w:p>
          <w:p w:rsidR="003B1971" w:rsidRDefault="00021A37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Administration Manual</w:t>
            </w:r>
          </w:p>
          <w:p w:rsidR="003B1971" w:rsidRDefault="00021A37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Rights Policies, and Information Handbook</w:t>
            </w:r>
          </w:p>
          <w:p w:rsidR="003B1971" w:rsidRDefault="00021A37">
            <w:pPr>
              <w:numPr>
                <w:ilvl w:val="2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Strategic Plan</w:t>
            </w:r>
          </w:p>
          <w:p w:rsidR="003B1971" w:rsidRDefault="00021A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WAQTC Executive Board Meeting</w:t>
            </w:r>
          </w:p>
          <w:p w:rsidR="003B1971" w:rsidRDefault="00021A3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Online Meeting</w:t>
            </w:r>
          </w:p>
          <w:p w:rsidR="003B1971" w:rsidRDefault="00021A3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 on 2023 proposed AASHTO standard revisions.</w:t>
            </w:r>
          </w:p>
          <w:p w:rsidR="003B1971" w:rsidRDefault="00021A3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and decide on proposed AASHTO revisions from the QAC.</w:t>
            </w:r>
          </w:p>
          <w:p w:rsidR="003B1971" w:rsidRDefault="00021A3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Website update planning and authorization.</w:t>
            </w:r>
          </w:p>
          <w:p w:rsidR="003B1971" w:rsidRDefault="00021A3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QAC future meeting planning.</w:t>
            </w:r>
          </w:p>
          <w:p w:rsidR="003B1971" w:rsidRDefault="00021A3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 review and revisions:</w:t>
            </w:r>
          </w:p>
          <w:p w:rsidR="003B1971" w:rsidRDefault="00021A37">
            <w:pPr>
              <w:numPr>
                <w:ilvl w:val="2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Administration Manual</w:t>
            </w:r>
          </w:p>
          <w:p w:rsidR="003B1971" w:rsidRDefault="00021A37">
            <w:pPr>
              <w:numPr>
                <w:ilvl w:val="2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Rights Policies, and Information Handbook</w:t>
            </w:r>
          </w:p>
          <w:p w:rsidR="003B1971" w:rsidRDefault="00021A37">
            <w:pPr>
              <w:numPr>
                <w:ilvl w:val="2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Strategic Plan</w:t>
            </w:r>
          </w:p>
          <w:p w:rsidR="003B1971" w:rsidRDefault="00021A37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Incoming Board Chair assignments</w:t>
            </w:r>
          </w:p>
          <w:p w:rsidR="003B1971" w:rsidRDefault="00021A37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Funding and budget review and discussion</w:t>
            </w:r>
          </w:p>
          <w:p w:rsidR="003B1971" w:rsidRDefault="00021A3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Representation and input on AASHTO mid-year meetings.</w:t>
            </w:r>
          </w:p>
          <w:p w:rsidR="003B1971" w:rsidRDefault="003B1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B1971">
        <w:trPr>
          <w:cantSplit/>
        </w:trPr>
        <w:tc>
          <w:tcPr>
            <w:tcW w:w="10908" w:type="dxa"/>
          </w:tcPr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D16CF">
              <w:rPr>
                <w:rFonts w:ascii="Arial" w:eastAsia="Arial" w:hAnsi="Arial" w:cs="Arial"/>
                <w:b/>
                <w:sz w:val="20"/>
                <w:szCs w:val="20"/>
              </w:rPr>
              <w:t>Anticipated work next quarter</w:t>
            </w:r>
            <w:r w:rsidRPr="00AD16CF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30j0zll" w:colFirst="0" w:colLast="0"/>
            <w:bookmarkEnd w:id="1"/>
          </w:p>
          <w:p w:rsidR="003B1971" w:rsidRDefault="00021A3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QAC Summer Meetings., </w:t>
            </w:r>
          </w:p>
          <w:p w:rsidR="003B1971" w:rsidRDefault="00021A3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Update of WAQTC Training Materials</w:t>
            </w:r>
          </w:p>
          <w:p w:rsidR="003B1971" w:rsidRDefault="00021A3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Preparations for WAQTC Tasks at AASHTO COMP Annual Meeting</w:t>
            </w:r>
          </w:p>
          <w:p w:rsidR="003B1971" w:rsidRDefault="00021A3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Budget and contribution review.</w:t>
            </w:r>
          </w:p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B1971" w:rsidRDefault="003B1971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b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3B1971">
        <w:tc>
          <w:tcPr>
            <w:tcW w:w="10908" w:type="dxa"/>
          </w:tcPr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D16CF">
              <w:rPr>
                <w:rFonts w:ascii="Arial" w:eastAsia="Arial" w:hAnsi="Arial" w:cs="Arial"/>
                <w:b/>
                <w:sz w:val="20"/>
                <w:szCs w:val="20"/>
              </w:rPr>
              <w:t>Significant Results:</w:t>
            </w:r>
          </w:p>
          <w:p w:rsidR="00AD16CF" w:rsidRDefault="00AD16CF">
            <w:pPr>
              <w:spacing w:after="0" w:line="240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 revisions proposed and assignments made for AASHTO standards.</w:t>
            </w:r>
          </w:p>
          <w:p w:rsidR="003B1971" w:rsidRDefault="00021A37">
            <w:pPr>
              <w:spacing w:after="0" w:line="240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Revisions approved for field operation procedures; administration manual; and the rights, policies, and information handbook.</w:t>
            </w:r>
          </w:p>
          <w:p w:rsidR="003B1971" w:rsidRDefault="00021A37">
            <w:pPr>
              <w:spacing w:after="0" w:line="240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AASHTO Mid-year meetings complete.</w:t>
            </w:r>
          </w:p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1971">
        <w:tc>
          <w:tcPr>
            <w:tcW w:w="10908" w:type="dxa"/>
          </w:tcPr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Circumstances affecting project or budget.  (Please describe any challenges encountered or anticipated that </w:t>
            </w: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agreement, along with recommended soluti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ons to those problems).</w:t>
            </w:r>
          </w:p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3B1971" w:rsidRDefault="003B1971">
      <w:pPr>
        <w:spacing w:after="0"/>
        <w:ind w:left="-720" w:right="-720"/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1090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3B1971">
        <w:tc>
          <w:tcPr>
            <w:tcW w:w="10908" w:type="dxa"/>
          </w:tcPr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Potential Implementation:</w:t>
            </w:r>
          </w:p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3B1971" w:rsidRDefault="00021A37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Revisions to AASHTO Standards will occur through the AASHTO COMP subcommittees and standards processes.  Revisions to WAQTC materials will be made and published in the Fall of 2023.</w:t>
            </w:r>
          </w:p>
          <w:p w:rsidR="003B1971" w:rsidRDefault="003B197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B1971" w:rsidRDefault="003B1971">
      <w:pPr>
        <w:spacing w:after="0"/>
        <w:ind w:right="-720"/>
        <w:rPr>
          <w:rFonts w:ascii="Arial" w:eastAsia="Arial" w:hAnsi="Arial" w:cs="Arial"/>
          <w:sz w:val="20"/>
          <w:szCs w:val="20"/>
        </w:rPr>
      </w:pPr>
    </w:p>
    <w:sectPr w:rsidR="003B1971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A37" w:rsidRDefault="00021A37">
      <w:pPr>
        <w:spacing w:after="0" w:line="240" w:lineRule="auto"/>
      </w:pPr>
      <w:r>
        <w:separator/>
      </w:r>
    </w:p>
  </w:endnote>
  <w:endnote w:type="continuationSeparator" w:id="0">
    <w:p w:rsidR="00021A37" w:rsidRDefault="0002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971" w:rsidRDefault="00021A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810"/>
      <w:rPr>
        <w:color w:val="000000"/>
      </w:rPr>
    </w:pPr>
    <w:r>
      <w:rPr>
        <w:color w:val="000000"/>
      </w:rPr>
      <w:t>TPF Program Standard Quarterly Reporting Format – 7/2011</w:t>
    </w:r>
  </w:p>
  <w:p w:rsidR="003B1971" w:rsidRDefault="003B19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A37" w:rsidRDefault="00021A37">
      <w:pPr>
        <w:spacing w:after="0" w:line="240" w:lineRule="auto"/>
      </w:pPr>
      <w:r>
        <w:separator/>
      </w:r>
    </w:p>
  </w:footnote>
  <w:footnote w:type="continuationSeparator" w:id="0">
    <w:p w:rsidR="00021A37" w:rsidRDefault="0002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971" w:rsidRDefault="003B19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A41AC"/>
    <w:multiLevelType w:val="multilevel"/>
    <w:tmpl w:val="4C222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1A521D2"/>
    <w:multiLevelType w:val="multilevel"/>
    <w:tmpl w:val="72C6A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71"/>
    <w:rsid w:val="00021A37"/>
    <w:rsid w:val="003B1971"/>
    <w:rsid w:val="003C2FBF"/>
    <w:rsid w:val="00955F79"/>
    <w:rsid w:val="00AD16CF"/>
    <w:rsid w:val="00FA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4BD0"/>
  <w15:docId w15:val="{5E6EF246-7842-4F10-9D85-44C5AAF2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A5E6B"/>
    <w:pPr>
      <w:ind w:left="720"/>
      <w:contextualSpacing/>
    </w:p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keVzCZl/Mqagbs3HhaJiQDWArg==">CgMxLjAyCWguMzBqMHpsbDgAciExT240QWhYbTlVZDkyN1dFUmVURG1DQkVoY2UxbTFyMEs=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915</Words>
  <Characters>5222</Characters>
  <Application>Microsoft Office Word</Application>
  <DocSecurity>0</DocSecurity>
  <Lines>43</Lines>
  <Paragraphs>12</Paragraphs>
  <ScaleCrop>false</ScaleCrop>
  <Company>State of Utah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Stevens</cp:lastModifiedBy>
  <cp:revision>30</cp:revision>
  <dcterms:created xsi:type="dcterms:W3CDTF">2024-02-07T21:59:00Z</dcterms:created>
  <dcterms:modified xsi:type="dcterms:W3CDTF">2024-05-02T17:40:00Z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lpwstr>true</vt:lpwstr>
  </property>
</Properties>
</file>