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1234FC33" w:rsidR="00551D8A" w:rsidRDefault="00AE5429"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04A457DC" w:rsidR="00551D8A" w:rsidRDefault="00B551C2"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6CEB1E29" w:rsidR="00551D8A" w:rsidRDefault="008F1EDC"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428BC3B1" w:rsidR="00551D8A" w:rsidRDefault="008F1EDC" w:rsidP="00037FBC">
            <w:pPr>
              <w:ind w:right="-720"/>
              <w:rPr>
                <w:rFonts w:ascii="Arial" w:hAnsi="Arial" w:cs="Arial"/>
                <w:sz w:val="20"/>
                <w:szCs w:val="20"/>
              </w:rPr>
            </w:pPr>
            <w:r>
              <w:rPr>
                <w:rFonts w:ascii="Arial" w:hAnsi="Arial" w:cs="Arial"/>
                <w:sz w:val="24"/>
                <w:szCs w:val="24"/>
              </w:rPr>
              <w:t>X</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Integrating Construction Practices and Weather Into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25821F8D" w:rsidR="002E65AE" w:rsidRPr="00C13753" w:rsidRDefault="00663CD8" w:rsidP="00E52DB4">
            <w:pPr>
              <w:ind w:right="-720"/>
              <w:rPr>
                <w:rFonts w:ascii="Arial" w:hAnsi="Arial" w:cs="Arial"/>
                <w:b/>
                <w:sz w:val="20"/>
                <w:szCs w:val="20"/>
              </w:rPr>
            </w:pPr>
            <w:r>
              <w:rPr>
                <w:rFonts w:ascii="Arial" w:hAnsi="Arial" w:cs="Arial"/>
                <w:b/>
                <w:sz w:val="20"/>
                <w:szCs w:val="20"/>
              </w:rPr>
              <w:t xml:space="preserve">January 31,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33757D37"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7</w:t>
            </w:r>
            <w:r w:rsidR="00844FC2">
              <w:rPr>
                <w:rFonts w:ascii="Arial" w:hAnsi="Arial" w:cs="Arial"/>
                <w:sz w:val="20"/>
                <w:szCs w:val="20"/>
              </w:rPr>
              <w:t>60,000</w:t>
            </w:r>
          </w:p>
        </w:tc>
        <w:tc>
          <w:tcPr>
            <w:tcW w:w="3330" w:type="dxa"/>
          </w:tcPr>
          <w:p w14:paraId="1EFFCB2D" w14:textId="41ECC286"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B551C2">
              <w:rPr>
                <w:rFonts w:ascii="Arial" w:hAnsi="Arial" w:cs="Arial"/>
                <w:sz w:val="20"/>
                <w:szCs w:val="20"/>
              </w:rPr>
              <w:t>580</w:t>
            </w:r>
            <w:r>
              <w:rPr>
                <w:rFonts w:ascii="Arial" w:hAnsi="Arial" w:cs="Arial"/>
                <w:sz w:val="20"/>
                <w:szCs w:val="20"/>
              </w:rPr>
              <w:t>,000</w:t>
            </w:r>
          </w:p>
        </w:tc>
        <w:tc>
          <w:tcPr>
            <w:tcW w:w="3420" w:type="dxa"/>
          </w:tcPr>
          <w:p w14:paraId="56223D56" w14:textId="26BD1A27" w:rsidR="00874EF7" w:rsidRPr="00B66A21" w:rsidRDefault="00AE5429" w:rsidP="00155CE2">
            <w:pPr>
              <w:ind w:right="-720"/>
              <w:jc w:val="center"/>
              <w:rPr>
                <w:rFonts w:ascii="Arial" w:hAnsi="Arial" w:cs="Arial"/>
                <w:sz w:val="20"/>
                <w:szCs w:val="20"/>
              </w:rPr>
            </w:pPr>
            <w:r>
              <w:rPr>
                <w:rFonts w:ascii="Arial" w:hAnsi="Arial" w:cs="Arial"/>
                <w:sz w:val="20"/>
                <w:szCs w:val="20"/>
              </w:rPr>
              <w:t>8</w:t>
            </w:r>
            <w:r w:rsidR="00B551C2">
              <w:rPr>
                <w:rFonts w:ascii="Arial" w:hAnsi="Arial" w:cs="Arial"/>
                <w:sz w:val="20"/>
                <w:szCs w:val="20"/>
              </w:rPr>
              <w:t>5</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716DF487" w:rsidR="00B66A21" w:rsidRPr="00F26EBA" w:rsidRDefault="008F1EDC" w:rsidP="004C7212">
            <w:pPr>
              <w:ind w:right="-720"/>
              <w:jc w:val="center"/>
              <w:rPr>
                <w:rFonts w:ascii="Arial" w:hAnsi="Arial" w:cs="Arial"/>
                <w:sz w:val="20"/>
                <w:szCs w:val="20"/>
                <w:highlight w:val="yellow"/>
              </w:rPr>
            </w:pPr>
            <w:r w:rsidRPr="008F1EDC">
              <w:rPr>
                <w:rFonts w:ascii="Arial" w:hAnsi="Arial" w:cs="Arial"/>
                <w:sz w:val="20"/>
                <w:szCs w:val="20"/>
              </w:rPr>
              <w:t>9%</w:t>
            </w:r>
          </w:p>
        </w:tc>
        <w:tc>
          <w:tcPr>
            <w:tcW w:w="3330" w:type="dxa"/>
          </w:tcPr>
          <w:p w14:paraId="0C51559D" w14:textId="67E55B1F"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B551C2" w:rsidRPr="008F1EDC">
              <w:rPr>
                <w:rFonts w:ascii="Arial" w:hAnsi="Arial" w:cs="Arial"/>
                <w:sz w:val="20"/>
                <w:szCs w:val="20"/>
              </w:rPr>
              <w:t>65</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1C500EE5" w:rsidR="00B66A21" w:rsidRPr="00B66A21" w:rsidRDefault="00AE5429" w:rsidP="00155CE2">
            <w:pPr>
              <w:ind w:right="-720"/>
              <w:jc w:val="center"/>
              <w:rPr>
                <w:rFonts w:ascii="Arial" w:hAnsi="Arial" w:cs="Arial"/>
                <w:sz w:val="20"/>
                <w:szCs w:val="20"/>
              </w:rPr>
            </w:pPr>
            <w:r>
              <w:rPr>
                <w:rFonts w:ascii="Arial" w:hAnsi="Arial" w:cs="Arial"/>
                <w:sz w:val="20"/>
                <w:szCs w:val="20"/>
              </w:rPr>
              <w:t>90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Determine how construction methods such as pumping, mixing time, paving vibration, and hand held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1F785302" w:rsidR="00416101" w:rsidRDefault="0079556F" w:rsidP="0089152D">
            <w:pPr>
              <w:jc w:val="both"/>
              <w:rPr>
                <w:color w:val="000000" w:themeColor="text1"/>
              </w:rPr>
            </w:pPr>
            <w:r w:rsidRPr="0089152D">
              <w:rPr>
                <w:color w:val="000000" w:themeColor="text1"/>
              </w:rPr>
              <w:t xml:space="preserve">Data is continuing to be collected and analyzed.  </w:t>
            </w:r>
            <w:r w:rsidR="001B3A9A">
              <w:rPr>
                <w:color w:val="000000" w:themeColor="text1"/>
              </w:rPr>
              <w:t xml:space="preserve">A paper has been written and </w:t>
            </w:r>
            <w:r w:rsidR="00CE62BA">
              <w:rPr>
                <w:color w:val="000000" w:themeColor="text1"/>
              </w:rPr>
              <w:t xml:space="preserve">published.  </w:t>
            </w:r>
            <w:r w:rsidR="001B3A9A">
              <w:rPr>
                <w:color w:val="000000" w:themeColor="text1"/>
              </w:rPr>
              <w:t xml:space="preserve">The work focuses on </w:t>
            </w:r>
            <w:r w:rsidR="00416101">
              <w:rPr>
                <w:color w:val="000000" w:themeColor="text1"/>
              </w:rPr>
              <w:t>Oklahoma weather</w:t>
            </w:r>
            <w:r w:rsidR="0065306E">
              <w:rPr>
                <w:color w:val="000000" w:themeColor="text1"/>
              </w:rPr>
              <w:t>.  The group is also working on extending this work to the other weather stations</w:t>
            </w:r>
            <w:r w:rsidR="00FE0C0C">
              <w:rPr>
                <w:color w:val="000000" w:themeColor="text1"/>
              </w:rPr>
              <w:t xml:space="preserve"> </w:t>
            </w:r>
            <w:r w:rsidR="0065306E">
              <w:rPr>
                <w:color w:val="000000" w:themeColor="text1"/>
              </w:rPr>
              <w:t xml:space="preserve">because </w:t>
            </w:r>
            <w:r w:rsidR="00FE0C0C">
              <w:rPr>
                <w:color w:val="000000" w:themeColor="text1"/>
              </w:rPr>
              <w:t xml:space="preserve">some </w:t>
            </w:r>
            <w:r w:rsidR="0065306E">
              <w:rPr>
                <w:color w:val="000000" w:themeColor="text1"/>
              </w:rPr>
              <w:t xml:space="preserve">of the weather stations did not have continuous power and so they were not always in service.  This makes it </w:t>
            </w:r>
            <w:r w:rsidR="00FE0C0C">
              <w:rPr>
                <w:color w:val="000000" w:themeColor="text1"/>
              </w:rPr>
              <w:t xml:space="preserve">more challenging </w:t>
            </w:r>
            <w:r w:rsidR="0065306E">
              <w:rPr>
                <w:color w:val="000000" w:themeColor="text1"/>
              </w:rPr>
              <w:t xml:space="preserve">to compare the data between the different stations.  </w:t>
            </w:r>
            <w:r w:rsidR="001B3A9A">
              <w:rPr>
                <w:color w:val="000000" w:themeColor="text1"/>
              </w:rPr>
              <w:t xml:space="preserve">The team plans on developing a model that can take the weather into account and predict the number of effective freeze thaw cycles in concrete.  </w:t>
            </w:r>
            <w:r w:rsidR="00C91188">
              <w:rPr>
                <w:color w:val="000000" w:themeColor="text1"/>
              </w:rPr>
              <w:t xml:space="preserve">We are making some progress but this is still being developed.  </w:t>
            </w:r>
          </w:p>
          <w:p w14:paraId="4C1A043C" w14:textId="1D2146EB" w:rsidR="00972D0E" w:rsidRDefault="00972D0E" w:rsidP="0089152D">
            <w:pPr>
              <w:jc w:val="both"/>
              <w:rPr>
                <w:color w:val="000000" w:themeColor="text1"/>
              </w:rPr>
            </w:pPr>
          </w:p>
          <w:p w14:paraId="20AA6609" w14:textId="215C5DEC" w:rsidR="00972D0E" w:rsidRDefault="00972D0E" w:rsidP="0089152D">
            <w:pPr>
              <w:jc w:val="both"/>
              <w:rPr>
                <w:color w:val="000000" w:themeColor="text1"/>
              </w:rPr>
            </w:pPr>
            <w:r>
              <w:rPr>
                <w:color w:val="000000" w:themeColor="text1"/>
              </w:rPr>
              <w:t xml:space="preserve">Results have been obtained for many of the states and they </w:t>
            </w:r>
            <w:r w:rsidR="00F00C65">
              <w:rPr>
                <w:color w:val="000000" w:themeColor="text1"/>
              </w:rPr>
              <w:t xml:space="preserve">were shared with the project oversight committee.  </w:t>
            </w:r>
            <w:r>
              <w:rPr>
                <w:color w:val="000000" w:themeColor="text1"/>
              </w:rPr>
              <w:t>The findings show that there are significant differences in effective freeze thaw cycles in different states</w:t>
            </w:r>
            <w:r w:rsidR="00B74486">
              <w:rPr>
                <w:color w:val="000000" w:themeColor="text1"/>
              </w:rPr>
              <w:t xml:space="preserve"> and that these measurements are repeatable</w:t>
            </w:r>
            <w:r>
              <w:rPr>
                <w:color w:val="000000" w:themeColor="text1"/>
              </w:rPr>
              <w:t xml:space="preserve">.  </w:t>
            </w:r>
            <w:r w:rsidR="00B74486">
              <w:rPr>
                <w:color w:val="000000" w:themeColor="text1"/>
              </w:rPr>
              <w:t xml:space="preserve">These measurements show that the differences in performance are tied to the </w:t>
            </w:r>
            <w:r w:rsidR="00901DF3">
              <w:rPr>
                <w:color w:val="000000" w:themeColor="text1"/>
              </w:rPr>
              <w:t>degree of saturation and the number of times the concrete freezes.</w:t>
            </w:r>
          </w:p>
          <w:p w14:paraId="21CBB622" w14:textId="77777777" w:rsidR="00663CD8" w:rsidRDefault="00663CD8" w:rsidP="0089152D">
            <w:pPr>
              <w:jc w:val="both"/>
              <w:rPr>
                <w:color w:val="000000" w:themeColor="text1"/>
              </w:rPr>
            </w:pPr>
          </w:p>
          <w:p w14:paraId="4D4EB91A" w14:textId="2112FA80" w:rsidR="00663CD8" w:rsidRDefault="00663CD8" w:rsidP="0089152D">
            <w:pPr>
              <w:jc w:val="both"/>
              <w:rPr>
                <w:color w:val="000000" w:themeColor="text1"/>
              </w:rPr>
            </w:pPr>
            <w:r>
              <w:rPr>
                <w:color w:val="000000" w:themeColor="text1"/>
              </w:rPr>
              <w:t>The team has started to develop a machine learning model that is showing good predictions.  These predictions are being compared to the data gathered so far.  This model will then be used to create a map of parts of the US to predict freeze thaw performance in different locations.</w:t>
            </w:r>
          </w:p>
          <w:p w14:paraId="1C46CED9" w14:textId="77777777" w:rsidR="001B3A9A" w:rsidRDefault="001B3A9A" w:rsidP="0089152D">
            <w:pPr>
              <w:jc w:val="both"/>
              <w:rPr>
                <w:color w:val="000000" w:themeColor="text1"/>
              </w:rPr>
            </w:pP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3103DFC7" w:rsidR="0006647C" w:rsidRPr="0006647C" w:rsidRDefault="0006647C" w:rsidP="0006647C">
            <w:pPr>
              <w:jc w:val="both"/>
              <w:rPr>
                <w:color w:val="000000" w:themeColor="text1"/>
              </w:rPr>
            </w:pPr>
            <w:r>
              <w:rPr>
                <w:color w:val="000000" w:themeColor="text1"/>
              </w:rPr>
              <w:t xml:space="preserve">Samples have been provided for this.  This </w:t>
            </w:r>
            <w:r w:rsidR="004257E0">
              <w:rPr>
                <w:color w:val="000000" w:themeColor="text1"/>
              </w:rPr>
              <w:t xml:space="preserve">work is still ongoing.  </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1EF93B2D"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Pr="0006647C">
              <w:rPr>
                <w:noProof/>
                <w:color w:val="000000" w:themeColor="text1"/>
              </w:rPr>
              <w:t>1</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lastRenderedPageBreak/>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009C4031">
              <w:rPr>
                <w:noProof/>
                <w:color w:val="000000" w:themeColor="text1"/>
              </w:rPr>
              <w:t>1</w:t>
            </w:r>
            <w:bookmarkEnd w:id="0"/>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lastRenderedPageBreak/>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CC4E08"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is the</w:t>
            </w:r>
            <w:r w:rsidRPr="008451B8">
              <w:rPr>
                <w:i/>
              </w:rPr>
              <w:t xml:space="preserve"> </w:t>
            </w:r>
            <w:r w:rsidRPr="008451B8">
              <w:t xml:space="preserve"> resistance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lastRenderedPageBreak/>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7020C5CE"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w:t>
            </w:r>
            <w:r w:rsidR="0013270E">
              <w:rPr>
                <w:rFonts w:cs="Times New Roman"/>
                <w:color w:val="000000" w:themeColor="text1"/>
              </w:rPr>
              <w:t xml:space="preserve">authored but more work needs to be done in editing.  </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lastRenderedPageBreak/>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A127585" w:rsidR="0006647C" w:rsidRPr="0006647C" w:rsidRDefault="0076130A" w:rsidP="0006647C">
            <w:pPr>
              <w:jc w:val="both"/>
              <w:rPr>
                <w:color w:val="000000" w:themeColor="text1"/>
              </w:rPr>
            </w:pPr>
            <w:r>
              <w:rPr>
                <w:color w:val="000000" w:themeColor="text1"/>
              </w:rPr>
              <w:t xml:space="preserve">The team has developed data on </w:t>
            </w:r>
            <w:r w:rsidR="00CD2989">
              <w:rPr>
                <w:color w:val="000000" w:themeColor="text1"/>
              </w:rPr>
              <w:t xml:space="preserve">concrete quality and </w:t>
            </w:r>
            <w:r>
              <w:rPr>
                <w:color w:val="000000" w:themeColor="text1"/>
              </w:rPr>
              <w:t>air void quality</w:t>
            </w:r>
            <w:r w:rsidR="00CD2989">
              <w:rPr>
                <w:color w:val="000000" w:themeColor="text1"/>
              </w:rPr>
              <w:t xml:space="preserve">.  The final step is to look at local weather conditions.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construction methods such as pumping, mixing time, paving vibration, and hand held vibrators impact the air void spacing within concrete</w:t>
            </w:r>
          </w:p>
          <w:p w14:paraId="126E4D5D" w14:textId="223A3940" w:rsidR="0006647C" w:rsidRPr="0006647C" w:rsidRDefault="00DA576D" w:rsidP="0006647C">
            <w:pPr>
              <w:jc w:val="both"/>
              <w:rPr>
                <w:color w:val="000000" w:themeColor="text1"/>
              </w:rPr>
            </w:pPr>
            <w:r>
              <w:rPr>
                <w:color w:val="000000" w:themeColor="text1"/>
              </w:rPr>
              <w:t>Efforts have been completed to look at vibration and drop height.  This will be shared at the final report.</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0B72EA2F"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663CD8">
              <w:rPr>
                <w:color w:val="000000" w:themeColor="text1"/>
              </w:rPr>
              <w:t xml:space="preserve">se gauges have been shared  with the DOTs so that they can be used in the next construction season.  </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61E530E0" w:rsidR="00EE5C07" w:rsidRDefault="00972D0E" w:rsidP="00972D0E">
            <w:pPr>
              <w:jc w:val="both"/>
              <w:rPr>
                <w:color w:val="000000" w:themeColor="text1"/>
              </w:rPr>
            </w:pPr>
            <w:r>
              <w:rPr>
                <w:color w:val="000000" w:themeColor="text1"/>
              </w:rPr>
              <w:t xml:space="preserve">An automated SAM is </w:t>
            </w:r>
            <w:r w:rsidR="00F1507F">
              <w:rPr>
                <w:color w:val="000000" w:themeColor="text1"/>
              </w:rPr>
              <w:t xml:space="preserve">making progress. </w:t>
            </w:r>
            <w:r w:rsidR="00EE5C07">
              <w:rPr>
                <w:color w:val="000000" w:themeColor="text1"/>
              </w:rPr>
              <w:t>The automated meter can complete the test in under 5 minutes.  The results are very repeatable when water is used.  There are problems with the valves that are being sort out</w:t>
            </w:r>
            <w:r w:rsidR="00C91188">
              <w:rPr>
                <w:color w:val="000000" w:themeColor="text1"/>
              </w:rPr>
              <w:t xml:space="preserve"> when concrete is tested</w:t>
            </w:r>
            <w:r w:rsidR="00EE5C07">
              <w:rPr>
                <w:color w:val="000000" w:themeColor="text1"/>
              </w:rPr>
              <w:t xml:space="preserve">.  This is </w:t>
            </w:r>
            <w:r w:rsidR="00BD70E2">
              <w:rPr>
                <w:color w:val="000000" w:themeColor="text1"/>
              </w:rPr>
              <w:t>being resolved.</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8DD15F4"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C0555">
              <w:rPr>
                <w:rFonts w:ascii="Arial" w:hAnsi="Arial" w:cs="Arial"/>
                <w:sz w:val="20"/>
                <w:szCs w:val="20"/>
              </w:rPr>
              <w:t xml:space="preserve">The results are being compiled </w:t>
            </w:r>
            <w:r w:rsidR="00C91188">
              <w:rPr>
                <w:rFonts w:ascii="Arial" w:hAnsi="Arial" w:cs="Arial"/>
                <w:sz w:val="20"/>
                <w:szCs w:val="20"/>
              </w:rPr>
              <w:t xml:space="preserve">in a journal paper.  </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lastRenderedPageBreak/>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0F955F97"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PP-84 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however this only occurs for mixtures with a specific range of calcium hydroxide (Ca(OH)2) (between 7 and 12 g Ca(OH)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25304D">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E9E54" w14:textId="77777777" w:rsidR="0025304D" w:rsidRDefault="0025304D" w:rsidP="00106C83">
      <w:pPr>
        <w:spacing w:after="0" w:line="240" w:lineRule="auto"/>
      </w:pPr>
      <w:r>
        <w:separator/>
      </w:r>
    </w:p>
  </w:endnote>
  <w:endnote w:type="continuationSeparator" w:id="0">
    <w:p w14:paraId="70C868A4" w14:textId="77777777" w:rsidR="0025304D" w:rsidRDefault="0025304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6306" w14:textId="77777777" w:rsidR="0025304D" w:rsidRDefault="0025304D" w:rsidP="00106C83">
      <w:pPr>
        <w:spacing w:after="0" w:line="240" w:lineRule="auto"/>
      </w:pPr>
      <w:r>
        <w:separator/>
      </w:r>
    </w:p>
  </w:footnote>
  <w:footnote w:type="continuationSeparator" w:id="0">
    <w:p w14:paraId="06BCF072" w14:textId="77777777" w:rsidR="0025304D" w:rsidRDefault="0025304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3"/>
  </w:num>
  <w:num w:numId="3">
    <w:abstractNumId w:val="6"/>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304D"/>
    <w:rsid w:val="0025739A"/>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5251E7"/>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90C4A"/>
    <w:rsid w:val="0079556F"/>
    <w:rsid w:val="00796C88"/>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11A07"/>
    <w:rsid w:val="00A17FB4"/>
    <w:rsid w:val="00A21B58"/>
    <w:rsid w:val="00A2671E"/>
    <w:rsid w:val="00A31318"/>
    <w:rsid w:val="00A428C7"/>
    <w:rsid w:val="00A42C14"/>
    <w:rsid w:val="00A43875"/>
    <w:rsid w:val="00A530F2"/>
    <w:rsid w:val="00A54F17"/>
    <w:rsid w:val="00A578EB"/>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4E08"/>
    <w:rsid w:val="00CC60F8"/>
    <w:rsid w:val="00CD2989"/>
    <w:rsid w:val="00CE138E"/>
    <w:rsid w:val="00CE62BA"/>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F00C65"/>
    <w:rsid w:val="00F02E55"/>
    <w:rsid w:val="00F03707"/>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3616</Words>
  <Characters>19571</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2024-04-09T20:54:00Z</dcterms:created>
  <dcterms:modified xsi:type="dcterms:W3CDTF">2024-04-09T20:54:00Z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