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F80D2" w14:textId="582570B1" w:rsidR="0047033B" w:rsidRPr="00033A19" w:rsidRDefault="0047033B" w:rsidP="00547162">
      <w:pPr>
        <w:spacing w:after="0"/>
        <w:jc w:val="center"/>
        <w:outlineLvl w:val="0"/>
        <w:rPr>
          <w:rFonts w:cs="Times New Roman"/>
          <w:b/>
          <w:sz w:val="24"/>
          <w:szCs w:val="24"/>
        </w:rPr>
      </w:pPr>
      <w:bookmarkStart w:id="0" w:name="_Hlk118891418"/>
      <w:r w:rsidRPr="00033A19">
        <w:rPr>
          <w:rFonts w:cs="Times New Roman"/>
          <w:b/>
          <w:sz w:val="24"/>
          <w:szCs w:val="24"/>
        </w:rPr>
        <w:t>Research Problem Statement</w:t>
      </w:r>
    </w:p>
    <w:p w14:paraId="5185E81D" w14:textId="77777777" w:rsidR="00033A19" w:rsidRDefault="00033A19" w:rsidP="00033A19">
      <w:pPr>
        <w:spacing w:after="0"/>
        <w:rPr>
          <w:rFonts w:cs="Times New Roman"/>
          <w:b/>
          <w:sz w:val="24"/>
          <w:szCs w:val="24"/>
        </w:rPr>
      </w:pPr>
    </w:p>
    <w:p w14:paraId="6E2169C6" w14:textId="2AE94196" w:rsidR="00DB4AC8" w:rsidRPr="00033A19" w:rsidRDefault="0047033B" w:rsidP="00033A19">
      <w:pPr>
        <w:spacing w:after="0"/>
        <w:rPr>
          <w:rFonts w:cs="Times New Roman"/>
          <w:sz w:val="24"/>
          <w:szCs w:val="24"/>
        </w:rPr>
      </w:pPr>
      <w:r w:rsidRPr="00033A19">
        <w:rPr>
          <w:rFonts w:cs="Times New Roman"/>
          <w:b/>
          <w:sz w:val="24"/>
          <w:szCs w:val="24"/>
        </w:rPr>
        <w:t xml:space="preserve">Research Problem Title: </w:t>
      </w:r>
    </w:p>
    <w:p w14:paraId="2E60E9BF" w14:textId="313D715D" w:rsidR="00DB4AC8" w:rsidRPr="00033A19" w:rsidRDefault="00524A85" w:rsidP="00033A19">
      <w:pPr>
        <w:spacing w:after="0"/>
        <w:rPr>
          <w:rFonts w:cs="Times New Roman"/>
          <w:b/>
          <w:sz w:val="24"/>
          <w:szCs w:val="24"/>
        </w:rPr>
      </w:pPr>
      <w:r>
        <w:rPr>
          <w:rFonts w:cs="Times New Roman"/>
          <w:sz w:val="24"/>
          <w:szCs w:val="24"/>
        </w:rPr>
        <w:t>Temporary Traffic Control Advance Warning Sign Placement</w:t>
      </w:r>
    </w:p>
    <w:p w14:paraId="76C0E90F" w14:textId="77777777" w:rsidR="00033A19" w:rsidRDefault="00033A19" w:rsidP="00033A19">
      <w:pPr>
        <w:spacing w:after="0"/>
        <w:contextualSpacing/>
        <w:rPr>
          <w:rFonts w:cs="Times New Roman"/>
          <w:b/>
          <w:sz w:val="24"/>
          <w:szCs w:val="24"/>
        </w:rPr>
      </w:pPr>
    </w:p>
    <w:p w14:paraId="5DF4DAA1" w14:textId="19268B76" w:rsidR="002E3260" w:rsidRPr="00B5667B" w:rsidRDefault="0047033B" w:rsidP="00033A19">
      <w:pPr>
        <w:pStyle w:val="ListParagraph"/>
        <w:rPr>
          <w:b/>
          <w:bCs/>
        </w:rPr>
      </w:pPr>
      <w:r w:rsidRPr="4E67A22D">
        <w:rPr>
          <w:b/>
          <w:bCs/>
        </w:rPr>
        <w:t>Statement</w:t>
      </w:r>
      <w:r w:rsidR="00537826" w:rsidRPr="4E67A22D">
        <w:rPr>
          <w:b/>
          <w:bCs/>
        </w:rPr>
        <w:t xml:space="preserve"> of Problem</w:t>
      </w:r>
      <w:r w:rsidRPr="4E67A22D">
        <w:rPr>
          <w:b/>
          <w:bCs/>
        </w:rPr>
        <w:t xml:space="preserve"> </w:t>
      </w:r>
    </w:p>
    <w:p w14:paraId="73014787" w14:textId="7D14CBBF" w:rsidR="0026730C" w:rsidRPr="0026730C" w:rsidRDefault="0026730C" w:rsidP="0026730C">
      <w:pPr>
        <w:widowControl w:val="0"/>
        <w:spacing w:after="0"/>
      </w:pPr>
      <w:r>
        <w:t xml:space="preserve">The MUTCD presents two </w:t>
      </w:r>
      <w:r w:rsidR="00841E10">
        <w:t>different</w:t>
      </w:r>
      <w:r>
        <w:t xml:space="preserve"> methods for determining warning sign spacing</w:t>
      </w:r>
      <w:r w:rsidR="00D120D6">
        <w:t xml:space="preserve">, depending </w:t>
      </w:r>
      <w:r w:rsidR="00A46CD6">
        <w:t>on</w:t>
      </w:r>
      <w:r w:rsidR="00BE654D">
        <w:t xml:space="preserve"> the chapter in the </w:t>
      </w:r>
      <w:r w:rsidR="0017309E">
        <w:t>M</w:t>
      </w:r>
      <w:r w:rsidR="00BE654D">
        <w:t>anual</w:t>
      </w:r>
      <w:r>
        <w:t>. Guidance in the MUTCD’s warning signs chapter, (Section 2C.05 – Placement of Warning Signs) recommends providing time and distance for Perception-Response Time (PRT) and complex driving situations, stopping distance, or braking distance</w:t>
      </w:r>
      <w:r w:rsidR="5DEBC897">
        <w:t xml:space="preserve"> (1)</w:t>
      </w:r>
      <w:r>
        <w:t>. These distances are based on research and engineering calculations.</w:t>
      </w:r>
    </w:p>
    <w:p w14:paraId="1321F085" w14:textId="77777777" w:rsidR="0026730C" w:rsidRPr="0026730C" w:rsidRDefault="0026730C" w:rsidP="0026730C">
      <w:pPr>
        <w:widowControl w:val="0"/>
        <w:spacing w:after="0"/>
      </w:pPr>
    </w:p>
    <w:p w14:paraId="510FEDB3" w14:textId="69ACD9B7" w:rsidR="0026730C" w:rsidRDefault="0026730C" w:rsidP="0026730C">
      <w:pPr>
        <w:widowControl w:val="0"/>
        <w:spacing w:after="0"/>
      </w:pPr>
      <w:r>
        <w:t xml:space="preserve">MUTCD guidance for </w:t>
      </w:r>
      <w:r w:rsidR="00A21A92">
        <w:t>Temporary Traffic Control (</w:t>
      </w:r>
      <w:r>
        <w:t>TTC</w:t>
      </w:r>
      <w:r w:rsidR="00A21A92">
        <w:t>)</w:t>
      </w:r>
      <w:r>
        <w:t xml:space="preserve"> warning signs (Section 6C.04 – Advance Warning Area) provides a warning sign spacing table based on classification, facility location, and speed. Further guidance is </w:t>
      </w:r>
      <w:r w:rsidR="00390636">
        <w:t xml:space="preserve">also </w:t>
      </w:r>
      <w:r>
        <w:t>provided</w:t>
      </w:r>
      <w:r w:rsidR="00390636">
        <w:t>, but d</w:t>
      </w:r>
      <w:r>
        <w:t>epending on speed, this written spacing guidance sometimes conflicts with the table values.</w:t>
      </w:r>
      <w:r w:rsidR="00E62997">
        <w:t xml:space="preserve"> </w:t>
      </w:r>
      <w:r w:rsidR="00390636">
        <w:t>C</w:t>
      </w:r>
      <w:r>
        <w:t>hallenges</w:t>
      </w:r>
      <w:r w:rsidR="00390636">
        <w:t xml:space="preserve"> also</w:t>
      </w:r>
      <w:r>
        <w:t xml:space="preserve"> arise due to the nature of TTC warning signs. TTC warning signs are typically arranged in a series of three advance warning signs</w:t>
      </w:r>
      <w:r w:rsidR="00390636">
        <w:t>. W</w:t>
      </w:r>
      <w:r>
        <w:t xml:space="preserve">arning sign spacing is provided between the </w:t>
      </w:r>
      <w:proofErr w:type="gramStart"/>
      <w:r>
        <w:t>work space</w:t>
      </w:r>
      <w:proofErr w:type="gramEnd"/>
      <w:r>
        <w:t xml:space="preserve"> and closest warning sign and between each warning sign in the series. In urban areas with close intersection or driveway spacing, or in mountainous rural areas, the warning sign spacing is dependent </w:t>
      </w:r>
      <w:proofErr w:type="gramStart"/>
      <w:r>
        <w:t>on</w:t>
      </w:r>
      <w:r w:rsidR="00C011DC">
        <w:t xml:space="preserve"> </w:t>
      </w:r>
      <w:r>
        <w:t>site</w:t>
      </w:r>
      <w:proofErr w:type="gramEnd"/>
      <w:r>
        <w:t xml:space="preserve"> conditions rather than calculated distances</w:t>
      </w:r>
      <w:r w:rsidR="49C734EF">
        <w:t xml:space="preserve"> (1)</w:t>
      </w:r>
      <w:r>
        <w:t>. Compound that with queue lengths and the placement of advance warning signs becomes more complex than the distances shown in the table.</w:t>
      </w:r>
    </w:p>
    <w:p w14:paraId="462E6167" w14:textId="77777777" w:rsidR="005573C3" w:rsidRDefault="005573C3" w:rsidP="0026730C">
      <w:pPr>
        <w:widowControl w:val="0"/>
        <w:spacing w:after="0"/>
      </w:pPr>
    </w:p>
    <w:p w14:paraId="42C26D4A" w14:textId="519648E3" w:rsidR="00C625A0" w:rsidRDefault="008024A5" w:rsidP="0026730C">
      <w:pPr>
        <w:widowControl w:val="0"/>
        <w:spacing w:after="0"/>
      </w:pPr>
      <w:r>
        <w:t>The basis for the recommendations</w:t>
      </w:r>
      <w:r w:rsidR="00AF635B">
        <w:t xml:space="preserve"> in the MUTCD for TTC warning sign spacing and placement</w:t>
      </w:r>
      <w:r>
        <w:t xml:space="preserve"> </w:t>
      </w:r>
      <w:r w:rsidR="005573C3">
        <w:t xml:space="preserve">and taper distances </w:t>
      </w:r>
      <w:r>
        <w:t xml:space="preserve">is unclear to practitioners and there is a need to determine if the simplified spacing guidance for TTC warning signs is </w:t>
      </w:r>
      <w:r w:rsidR="001C1307">
        <w:t>appropriate to provide sufficient warning</w:t>
      </w:r>
      <w:r>
        <w:t xml:space="preserve"> in TTC zones</w:t>
      </w:r>
      <w:r w:rsidRPr="0026730C">
        <w:t>.</w:t>
      </w:r>
      <w:r w:rsidR="00550158">
        <w:t xml:space="preserve"> </w:t>
      </w:r>
    </w:p>
    <w:p w14:paraId="7542C16C" w14:textId="77777777" w:rsidR="00C625A0" w:rsidRDefault="00C625A0" w:rsidP="0026730C">
      <w:pPr>
        <w:widowControl w:val="0"/>
        <w:spacing w:after="0"/>
      </w:pPr>
    </w:p>
    <w:p w14:paraId="41199AF3" w14:textId="7262E304" w:rsidR="005573C3" w:rsidRDefault="005573C3" w:rsidP="005573C3">
      <w:pPr>
        <w:widowControl w:val="0"/>
        <w:spacing w:after="0"/>
      </w:pPr>
      <w:r>
        <w:t xml:space="preserve">Similarly, the MUTCD presents shifting taper rates that vary significantly for TTC applications as opposed to permanent applications. Shifting taper rates are </w:t>
      </w:r>
      <w:proofErr w:type="gramStart"/>
      <w:r>
        <w:t>a distance of L</w:t>
      </w:r>
      <w:proofErr w:type="gramEnd"/>
      <w:r>
        <w:t xml:space="preserve"> for permanent applications, but only half of L in TTC zones. While it’s likely that the TTC application taper distances are shorter due to space restrictions and limitations in work zones, the basis for the TTC taper length is unclear.  </w:t>
      </w:r>
    </w:p>
    <w:p w14:paraId="2C4BC609" w14:textId="77777777" w:rsidR="005573C3" w:rsidRPr="0026730C" w:rsidRDefault="005573C3" w:rsidP="005573C3">
      <w:pPr>
        <w:widowControl w:val="0"/>
        <w:spacing w:after="0"/>
      </w:pPr>
    </w:p>
    <w:p w14:paraId="31110CF8" w14:textId="2E57F2A4" w:rsidR="0026730C" w:rsidRPr="0026730C" w:rsidRDefault="00550158" w:rsidP="0026730C">
      <w:pPr>
        <w:widowControl w:val="0"/>
        <w:spacing w:after="0"/>
      </w:pPr>
      <w:r>
        <w:t xml:space="preserve">The objective of this </w:t>
      </w:r>
      <w:r w:rsidR="00C625A0">
        <w:t>research</w:t>
      </w:r>
      <w:r>
        <w:t xml:space="preserve"> is to </w:t>
      </w:r>
      <w:r w:rsidR="00390636">
        <w:t xml:space="preserve">consider the differences in spacing guidance </w:t>
      </w:r>
      <w:r w:rsidR="005573C3">
        <w:t xml:space="preserve">and taper length guidance </w:t>
      </w:r>
      <w:r w:rsidR="001C1307">
        <w:t>between MUTCD Part 2</w:t>
      </w:r>
      <w:r w:rsidR="009D6756">
        <w:t xml:space="preserve"> (for sign spacing)/Part 3 (for taper lengths)</w:t>
      </w:r>
      <w:r w:rsidR="001C1307">
        <w:t xml:space="preserve"> and Part 6</w:t>
      </w:r>
      <w:r w:rsidR="00390636">
        <w:t xml:space="preserve"> and to better align the Part 6 guidance to the Part 2</w:t>
      </w:r>
      <w:r w:rsidR="4B1C1369">
        <w:t xml:space="preserve"> and Part 3</w:t>
      </w:r>
      <w:r w:rsidR="00390636">
        <w:t xml:space="preserve"> guidance as appropriate, based on research findings</w:t>
      </w:r>
      <w:r w:rsidR="001C1307">
        <w:t xml:space="preserve">. </w:t>
      </w:r>
      <w:r>
        <w:t xml:space="preserve">The research will involve evaluating methods for </w:t>
      </w:r>
      <w:r w:rsidR="005573C3">
        <w:t xml:space="preserve">calculating shifting tapers and </w:t>
      </w:r>
      <w:r w:rsidR="006C6860">
        <w:t xml:space="preserve">determining </w:t>
      </w:r>
      <w:r>
        <w:t>distances for road users to react to different temporary traffic control warning messages.</w:t>
      </w:r>
      <w:r w:rsidR="008F7EF5">
        <w:t xml:space="preserve"> </w:t>
      </w:r>
      <w:r w:rsidR="00781723">
        <w:t xml:space="preserve">The research will also consider whether </w:t>
      </w:r>
      <w:r w:rsidR="008F7EF5">
        <w:t>methods should vary based on the type of TTC warning sign (e.g., whether</w:t>
      </w:r>
      <w:r w:rsidR="008B0A5C">
        <w:t xml:space="preserve"> messages are information or if</w:t>
      </w:r>
      <w:r w:rsidR="008F7EF5">
        <w:t xml:space="preserve"> action is required). </w:t>
      </w:r>
    </w:p>
    <w:p w14:paraId="39090230" w14:textId="77777777" w:rsidR="00B37542" w:rsidRPr="00681056" w:rsidRDefault="00B37542" w:rsidP="00B37542">
      <w:pPr>
        <w:widowControl w:val="0"/>
        <w:spacing w:after="0"/>
      </w:pPr>
    </w:p>
    <w:p w14:paraId="30A00DC8" w14:textId="3E55165E" w:rsidR="00033A19" w:rsidRPr="00B5667B" w:rsidRDefault="003E7B55" w:rsidP="00B37542">
      <w:pPr>
        <w:pStyle w:val="ListParagraph"/>
        <w:rPr>
          <w:b/>
          <w:bCs/>
        </w:rPr>
      </w:pPr>
      <w:r w:rsidRPr="00B5667B">
        <w:rPr>
          <w:b/>
          <w:bCs/>
        </w:rPr>
        <w:t>Summ</w:t>
      </w:r>
      <w:r w:rsidR="002E3260" w:rsidRPr="00B5667B">
        <w:rPr>
          <w:b/>
          <w:bCs/>
        </w:rPr>
        <w:t>ary of Existing Literature</w:t>
      </w:r>
    </w:p>
    <w:p w14:paraId="161369C6" w14:textId="7EDDE201" w:rsidR="0088628C" w:rsidRPr="007815AB" w:rsidRDefault="0088628C" w:rsidP="00033A19">
      <w:pPr>
        <w:pStyle w:val="ListParagraph"/>
        <w:rPr>
          <w:i/>
          <w:iCs/>
          <w:u w:val="single"/>
        </w:rPr>
      </w:pPr>
      <w:r w:rsidRPr="007815AB">
        <w:rPr>
          <w:i/>
          <w:iCs/>
          <w:u w:val="single"/>
        </w:rPr>
        <w:t>State of Practice</w:t>
      </w:r>
      <w:r w:rsidR="00C93497">
        <w:rPr>
          <w:i/>
          <w:iCs/>
          <w:u w:val="single"/>
        </w:rPr>
        <w:t xml:space="preserve"> for Advance Warning Sign Spacing and Placement</w:t>
      </w:r>
    </w:p>
    <w:p w14:paraId="6B0E0F6D" w14:textId="6CBD8150" w:rsidR="007815AB" w:rsidRDefault="00000D55" w:rsidP="00033A19">
      <w:pPr>
        <w:pStyle w:val="ListParagraph"/>
      </w:pPr>
      <w:r>
        <w:lastRenderedPageBreak/>
        <w:t xml:space="preserve">The MUTCD NPA provides </w:t>
      </w:r>
      <w:r w:rsidR="00DE1629">
        <w:t xml:space="preserve">recommendations and guidance for the placement and spacing of TTC </w:t>
      </w:r>
      <w:r w:rsidR="00A55E91">
        <w:t xml:space="preserve">advance warning signs. </w:t>
      </w:r>
      <w:r w:rsidR="006774D3">
        <w:t>Section 6B.04 states that “on urban streets, the effective placement of the nearest warning sign to the TTC zone, in feet, should range from 4 to 8 times the speed limit in mph, with the high end of the range being used when speeds are relatively high.</w:t>
      </w:r>
      <w:r w:rsidR="005E3362">
        <w:t xml:space="preserve">” </w:t>
      </w:r>
      <w:r w:rsidR="00671465">
        <w:t>Section 6B.04 also states “Since rural highways are normally characterized by higher speeds, the effective placement of the first warning sign in feet should be substantially longer—from 8 to 12 times the speed limit in mph. Since two or more advance warning signs are normally used for these conditions, the advance warning area should extend 1,500 feet or more for open highway conditions (see Table 6B-1)”</w:t>
      </w:r>
      <w:r w:rsidR="2B246999">
        <w:t xml:space="preserve"> (2).</w:t>
      </w:r>
      <w:r w:rsidR="00766C53">
        <w:t xml:space="preserve"> </w:t>
      </w:r>
      <w:r w:rsidR="00CF72E6">
        <w:t>T</w:t>
      </w:r>
      <w:r w:rsidR="00A55E91">
        <w:t>able</w:t>
      </w:r>
      <w:r w:rsidR="00C962E2">
        <w:t>s</w:t>
      </w:r>
      <w:r w:rsidR="00CF72E6">
        <w:t xml:space="preserve"> 6B-1</w:t>
      </w:r>
      <w:r w:rsidR="00C962E2">
        <w:t xml:space="preserve"> and 6</w:t>
      </w:r>
      <w:r w:rsidR="00085654">
        <w:t>P</w:t>
      </w:r>
      <w:r w:rsidR="00C962E2">
        <w:t>-3</w:t>
      </w:r>
      <w:r w:rsidR="00A55E91">
        <w:t xml:space="preserve"> </w:t>
      </w:r>
      <w:r w:rsidR="00CF72E6">
        <w:t>provide recommended minimum spacing in a variety of TTC contexts</w:t>
      </w:r>
      <w:r w:rsidR="00766C53">
        <w:t xml:space="preserve"> and can be found below.</w:t>
      </w:r>
    </w:p>
    <w:p w14:paraId="0B75B929" w14:textId="329028E5" w:rsidR="00CF72E6" w:rsidRDefault="00CF72E6" w:rsidP="00033A19">
      <w:pPr>
        <w:pStyle w:val="ListParagraph"/>
      </w:pPr>
      <w:r w:rsidRPr="00CF72E6">
        <w:rPr>
          <w:noProof/>
        </w:rPr>
        <w:drawing>
          <wp:inline distT="0" distB="0" distL="0" distR="0" wp14:anchorId="5F7DAF82" wp14:editId="6101F317">
            <wp:extent cx="5861311" cy="2052084"/>
            <wp:effectExtent l="0" t="0" r="6350" b="5715"/>
            <wp:docPr id="4" name="Picture 4" descr="A table with text and numbers&#10;&#10;Description automatically generated">
              <a:extLst xmlns:a="http://schemas.openxmlformats.org/drawingml/2006/main">
                <a:ext uri="{FF2B5EF4-FFF2-40B4-BE49-F238E27FC236}">
                  <a16:creationId xmlns:a16="http://schemas.microsoft.com/office/drawing/2014/main" id="{0908466E-898F-4213-8CF6-E655ED47F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table with text and numbers&#10;&#10;Description automatically generated">
                      <a:extLst>
                        <a:ext uri="{FF2B5EF4-FFF2-40B4-BE49-F238E27FC236}">
                          <a16:creationId xmlns:a16="http://schemas.microsoft.com/office/drawing/2014/main" id="{0908466E-898F-4213-8CF6-E655ED47F1C0}"/>
                        </a:ext>
                      </a:extLst>
                    </pic:cNvPr>
                    <pic:cNvPicPr>
                      <a:picLocks noChangeAspect="1"/>
                    </pic:cNvPicPr>
                  </pic:nvPicPr>
                  <pic:blipFill>
                    <a:blip r:embed="rId13"/>
                    <a:stretch>
                      <a:fillRect/>
                    </a:stretch>
                  </pic:blipFill>
                  <pic:spPr>
                    <a:xfrm>
                      <a:off x="0" y="0"/>
                      <a:ext cx="5907429" cy="2068230"/>
                    </a:xfrm>
                    <a:prstGeom prst="rect">
                      <a:avLst/>
                    </a:prstGeom>
                  </pic:spPr>
                </pic:pic>
              </a:graphicData>
            </a:graphic>
          </wp:inline>
        </w:drawing>
      </w:r>
    </w:p>
    <w:p w14:paraId="357C98E9" w14:textId="5F96066D" w:rsidR="00A44512" w:rsidRDefault="00A44512" w:rsidP="00033A19">
      <w:pPr>
        <w:pStyle w:val="ListParagraph"/>
      </w:pPr>
      <w:r>
        <w:rPr>
          <w:noProof/>
        </w:rPr>
        <w:drawing>
          <wp:inline distT="0" distB="0" distL="0" distR="0" wp14:anchorId="19817C29" wp14:editId="76517B31">
            <wp:extent cx="5695962" cy="3619507"/>
            <wp:effectExtent l="0" t="0" r="0" b="0"/>
            <wp:docPr id="865977263"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77263" name="Picture 1" descr="A table with numbers and letters&#10;&#10;Description automatically generated"/>
                    <pic:cNvPicPr/>
                  </pic:nvPicPr>
                  <pic:blipFill>
                    <a:blip r:embed="rId14"/>
                    <a:stretch>
                      <a:fillRect/>
                    </a:stretch>
                  </pic:blipFill>
                  <pic:spPr>
                    <a:xfrm>
                      <a:off x="0" y="0"/>
                      <a:ext cx="5695962" cy="3619507"/>
                    </a:xfrm>
                    <a:prstGeom prst="rect">
                      <a:avLst/>
                    </a:prstGeom>
                  </pic:spPr>
                </pic:pic>
              </a:graphicData>
            </a:graphic>
          </wp:inline>
        </w:drawing>
      </w:r>
    </w:p>
    <w:p w14:paraId="61CFC9A9" w14:textId="02C9FBAD" w:rsidR="00BC32DB" w:rsidRDefault="00682658" w:rsidP="00033A19">
      <w:pPr>
        <w:pStyle w:val="ListParagraph"/>
      </w:pPr>
      <w:r>
        <w:t xml:space="preserve">These recommendations and guidance are different than those provided in the MUTCD NPA for </w:t>
      </w:r>
      <w:r w:rsidR="00BC32DB">
        <w:t>warning signs not located in TTC zones. Table 2C-3 below provides guidelines for other warning signs.</w:t>
      </w:r>
      <w:r w:rsidR="008B0A5C">
        <w:t xml:space="preserve"> The values in the “0” column are the AASTHO Stopping sign Distance minimum design guidelines per the NCUTCD Recommendation 12A-RW-02</w:t>
      </w:r>
      <w:r w:rsidR="00687173">
        <w:t xml:space="preserve"> (10)</w:t>
      </w:r>
      <w:r w:rsidR="008B0A5C">
        <w:t xml:space="preserve">. </w:t>
      </w:r>
    </w:p>
    <w:p w14:paraId="3255488F" w14:textId="77777777" w:rsidR="006C22EA" w:rsidRDefault="006C22EA" w:rsidP="00033A19">
      <w:pPr>
        <w:pStyle w:val="ListParagraph"/>
      </w:pPr>
      <w:r w:rsidRPr="006C22EA">
        <w:rPr>
          <w:noProof/>
        </w:rPr>
        <w:lastRenderedPageBreak/>
        <w:drawing>
          <wp:inline distT="0" distB="0" distL="0" distR="0" wp14:anchorId="0E90994C" wp14:editId="5219CC90">
            <wp:extent cx="5943600" cy="5476240"/>
            <wp:effectExtent l="0" t="0" r="0" b="0"/>
            <wp:docPr id="198426983" name="Picture 198426983">
              <a:extLst xmlns:a="http://schemas.openxmlformats.org/drawingml/2006/main">
                <a:ext uri="{FF2B5EF4-FFF2-40B4-BE49-F238E27FC236}">
                  <a16:creationId xmlns:a16="http://schemas.microsoft.com/office/drawing/2014/main" id="{25607896-C688-4B29-8C17-FCAAA672BC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5607896-C688-4B29-8C17-FCAAA672BC88}"/>
                        </a:ext>
                      </a:extLst>
                    </pic:cNvPr>
                    <pic:cNvPicPr>
                      <a:picLocks noChangeAspect="1"/>
                    </pic:cNvPicPr>
                  </pic:nvPicPr>
                  <pic:blipFill>
                    <a:blip r:embed="rId15"/>
                    <a:stretch>
                      <a:fillRect/>
                    </a:stretch>
                  </pic:blipFill>
                  <pic:spPr>
                    <a:xfrm>
                      <a:off x="0" y="0"/>
                      <a:ext cx="5943600" cy="5476240"/>
                    </a:xfrm>
                    <a:prstGeom prst="rect">
                      <a:avLst/>
                    </a:prstGeom>
                  </pic:spPr>
                </pic:pic>
              </a:graphicData>
            </a:graphic>
          </wp:inline>
        </w:drawing>
      </w:r>
    </w:p>
    <w:p w14:paraId="6F65F407" w14:textId="6EAEE015" w:rsidR="007815AB" w:rsidRDefault="00E21CD4" w:rsidP="00033A19">
      <w:pPr>
        <w:pStyle w:val="ListParagraph"/>
      </w:pPr>
      <w:r>
        <w:t>Several states have provide</w:t>
      </w:r>
      <w:r w:rsidR="00876EED">
        <w:t xml:space="preserve">d </w:t>
      </w:r>
      <w:r w:rsidR="00FC4E32">
        <w:t>additional</w:t>
      </w:r>
      <w:r w:rsidR="00876EED">
        <w:t xml:space="preserve"> information regarding placement and spacing of TTC advance warning signs, </w:t>
      </w:r>
      <w:r w:rsidR="00FC4E32">
        <w:t xml:space="preserve">to supplement the current MUTCD. </w:t>
      </w:r>
      <w:r w:rsidR="00A91EA4">
        <w:t xml:space="preserve">For example, Wisconsin </w:t>
      </w:r>
      <w:r w:rsidR="0037756F">
        <w:t xml:space="preserve">DOT </w:t>
      </w:r>
      <w:r w:rsidR="00A91EA4">
        <w:t>provided clarif</w:t>
      </w:r>
      <w:r w:rsidR="006C57DD">
        <w:t xml:space="preserve">ications to differentiate high speed and low speed urban roads with high speeds being defined of 35-40 mph and </w:t>
      </w:r>
      <w:r w:rsidR="009533B3">
        <w:t>low speeds being 25-30 mph</w:t>
      </w:r>
      <w:r w:rsidR="5564BC09">
        <w:t xml:space="preserve"> (3)</w:t>
      </w:r>
      <w:r w:rsidR="009533B3">
        <w:t xml:space="preserve">. </w:t>
      </w:r>
      <w:r w:rsidR="00F70FFE">
        <w:t>Wisconsin also</w:t>
      </w:r>
      <w:r w:rsidR="009872A2">
        <w:t xml:space="preserve"> </w:t>
      </w:r>
      <w:r w:rsidR="00BC2C33">
        <w:t xml:space="preserve">provides </w:t>
      </w:r>
      <w:r w:rsidR="00A77E97">
        <w:t xml:space="preserve">approximate distances between the closest sign to the TTC </w:t>
      </w:r>
      <w:r w:rsidR="00CD6594">
        <w:t xml:space="preserve">zone and the signs in Table 6C-1. </w:t>
      </w:r>
    </w:p>
    <w:p w14:paraId="6B572089" w14:textId="77777777" w:rsidR="00AA0B9C" w:rsidRDefault="00AA0B9C" w:rsidP="00033A19">
      <w:pPr>
        <w:pStyle w:val="ListParagraph"/>
      </w:pPr>
    </w:p>
    <w:p w14:paraId="68A68A2E" w14:textId="32BE962D" w:rsidR="008D66A0" w:rsidRDefault="00991888" w:rsidP="00033A19">
      <w:pPr>
        <w:pStyle w:val="ListParagraph"/>
      </w:pPr>
      <w:r>
        <w:t xml:space="preserve">South Carolina DOT (SCDOT) has </w:t>
      </w:r>
      <w:r w:rsidR="00B0562F">
        <w:t xml:space="preserve">also </w:t>
      </w:r>
      <w:r w:rsidR="00CF4805">
        <w:t xml:space="preserve">provided specific speeds to differentiate between low speed and </w:t>
      </w:r>
      <w:proofErr w:type="gramStart"/>
      <w:r w:rsidR="00CF4805">
        <w:t>high speed</w:t>
      </w:r>
      <w:proofErr w:type="gramEnd"/>
      <w:r w:rsidR="00CF4805">
        <w:t xml:space="preserve"> urban roads with low speed roads being </w:t>
      </w:r>
      <w:r w:rsidR="00164270">
        <w:t xml:space="preserve">35 mph or less and high speed roads being 40-50 mph. </w:t>
      </w:r>
      <w:r w:rsidR="008D66A0">
        <w:t>SCDOT also revised the recommended distance between signs for low speed roads to 200 ft (4).</w:t>
      </w:r>
    </w:p>
    <w:p w14:paraId="066CF13B" w14:textId="77777777" w:rsidR="008D66A0" w:rsidRDefault="008D66A0" w:rsidP="00033A19">
      <w:pPr>
        <w:pStyle w:val="ListParagraph"/>
      </w:pPr>
    </w:p>
    <w:p w14:paraId="68CEA015" w14:textId="36D81360" w:rsidR="00AA0B9C" w:rsidRDefault="00EE7B27" w:rsidP="00033A19">
      <w:pPr>
        <w:pStyle w:val="ListParagraph"/>
      </w:pPr>
      <w:r>
        <w:t xml:space="preserve">Idaho DOT </w:t>
      </w:r>
      <w:r w:rsidR="00303C2F">
        <w:t>also provides speeds for differentiation with urban low speed roads being 35 mph or lower and urban high</w:t>
      </w:r>
      <w:r w:rsidR="00B50B75">
        <w:t>-</w:t>
      </w:r>
      <w:r w:rsidR="00303C2F">
        <w:t xml:space="preserve">speed roads being 40 mph or greater. </w:t>
      </w:r>
    </w:p>
    <w:p w14:paraId="6E488466" w14:textId="77777777" w:rsidR="004D0254" w:rsidRDefault="004D0254" w:rsidP="00033A19">
      <w:pPr>
        <w:pStyle w:val="ListParagraph"/>
      </w:pPr>
    </w:p>
    <w:p w14:paraId="40A5C09B" w14:textId="4E383482" w:rsidR="004D0254" w:rsidRDefault="004D0254" w:rsidP="00033A19">
      <w:pPr>
        <w:pStyle w:val="ListParagraph"/>
      </w:pPr>
      <w:r>
        <w:lastRenderedPageBreak/>
        <w:t xml:space="preserve">Washington State </w:t>
      </w:r>
      <w:r w:rsidR="00E6475E">
        <w:t>DOT amends Table 6C-1 of the</w:t>
      </w:r>
      <w:r w:rsidR="008D66A0">
        <w:t xml:space="preserve"> 2009</w:t>
      </w:r>
      <w:r w:rsidR="00E6475E">
        <w:t xml:space="preserve"> MUTCD to provide </w:t>
      </w:r>
      <w:r w:rsidR="007A1520">
        <w:t xml:space="preserve">more </w:t>
      </w:r>
      <w:r w:rsidR="00E97F81">
        <w:t>categories of roads with specific speed limits associated</w:t>
      </w:r>
      <w:r w:rsidR="003D5FC8">
        <w:t>, as shown below</w:t>
      </w:r>
      <w:r w:rsidR="6CF57D6F">
        <w:t xml:space="preserve"> (3)</w:t>
      </w:r>
      <w:r w:rsidR="003D5FC8">
        <w:t>.</w:t>
      </w:r>
    </w:p>
    <w:p w14:paraId="79EFBE7D" w14:textId="29377E0F" w:rsidR="00493B9F" w:rsidRDefault="00493B9F" w:rsidP="00493B9F">
      <w:pPr>
        <w:pStyle w:val="ListParagraph"/>
        <w:jc w:val="center"/>
      </w:pPr>
      <w:r>
        <w:rPr>
          <w:rFonts w:cstheme="minorHAnsi"/>
          <w:noProof/>
          <w:sz w:val="24"/>
          <w:szCs w:val="24"/>
        </w:rPr>
        <w:drawing>
          <wp:inline distT="0" distB="0" distL="0" distR="0" wp14:anchorId="50EBE116" wp14:editId="4F3B33AB">
            <wp:extent cx="4714240" cy="1839433"/>
            <wp:effectExtent l="0" t="0" r="0" b="8890"/>
            <wp:docPr id="1087589868" name="Picture 1087589868" descr="A screenshot of a traffic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89868" name="Picture 14" descr="A screenshot of a traffic control&#10;&#10;Description automatically generated"/>
                    <pic:cNvPicPr/>
                  </pic:nvPicPr>
                  <pic:blipFill rotWithShape="1">
                    <a:blip r:embed="rId16">
                      <a:extLst>
                        <a:ext uri="{28A0092B-C50C-407E-A947-70E740481C1C}">
                          <a14:useLocalDpi xmlns:a14="http://schemas.microsoft.com/office/drawing/2010/main" val="0"/>
                        </a:ext>
                      </a:extLst>
                    </a:blip>
                    <a:srcRect t="15230" b="29209"/>
                    <a:stretch/>
                  </pic:blipFill>
                  <pic:spPr bwMode="auto">
                    <a:xfrm>
                      <a:off x="0" y="0"/>
                      <a:ext cx="4718825" cy="1841222"/>
                    </a:xfrm>
                    <a:prstGeom prst="rect">
                      <a:avLst/>
                    </a:prstGeom>
                    <a:ln>
                      <a:noFill/>
                    </a:ln>
                    <a:extLst>
                      <a:ext uri="{53640926-AAD7-44D8-BBD7-CCE9431645EC}">
                        <a14:shadowObscured xmlns:a14="http://schemas.microsoft.com/office/drawing/2010/main"/>
                      </a:ext>
                    </a:extLst>
                  </pic:spPr>
                </pic:pic>
              </a:graphicData>
            </a:graphic>
          </wp:inline>
        </w:drawing>
      </w:r>
    </w:p>
    <w:p w14:paraId="113E46FC" w14:textId="7E1116EB" w:rsidR="00E97F81" w:rsidRDefault="00E84768" w:rsidP="00033A19">
      <w:pPr>
        <w:pStyle w:val="ListParagraph"/>
      </w:pPr>
      <w:r>
        <w:t xml:space="preserve">Michigan DOT </w:t>
      </w:r>
      <w:r w:rsidR="00E213E3">
        <w:t>also modified Table 6C-1 basing it solely on speed limits as shown below</w:t>
      </w:r>
      <w:r w:rsidR="1967A4E6">
        <w:t xml:space="preserve"> (5)</w:t>
      </w:r>
      <w:r w:rsidR="00E213E3">
        <w:t>:</w:t>
      </w:r>
    </w:p>
    <w:p w14:paraId="35812B2C" w14:textId="63BB2B16" w:rsidR="00E213E3" w:rsidRDefault="00AF7E0C" w:rsidP="00AF7E0C">
      <w:pPr>
        <w:pStyle w:val="ListParagraph"/>
        <w:jc w:val="center"/>
      </w:pPr>
      <w:r>
        <w:rPr>
          <w:rFonts w:cstheme="minorHAnsi"/>
          <w:noProof/>
          <w:sz w:val="24"/>
          <w:szCs w:val="24"/>
        </w:rPr>
        <w:drawing>
          <wp:inline distT="0" distB="0" distL="0" distR="0" wp14:anchorId="1E70DEE9" wp14:editId="6B24440B">
            <wp:extent cx="2463927" cy="2197213"/>
            <wp:effectExtent l="0" t="0" r="0" b="0"/>
            <wp:docPr id="1842830441" name="Picture 184283044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30441" name="Picture 15" descr="A table with numbers and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463927" cy="2197213"/>
                    </a:xfrm>
                    <a:prstGeom prst="rect">
                      <a:avLst/>
                    </a:prstGeom>
                  </pic:spPr>
                </pic:pic>
              </a:graphicData>
            </a:graphic>
          </wp:inline>
        </w:drawing>
      </w:r>
    </w:p>
    <w:p w14:paraId="136A04E3" w14:textId="0C41F2D0" w:rsidR="00FC4E32" w:rsidRDefault="00303C2F" w:rsidP="00033A19">
      <w:pPr>
        <w:pStyle w:val="ListParagraph"/>
      </w:pPr>
      <w:r>
        <w:t xml:space="preserve">Delaware DOT </w:t>
      </w:r>
      <w:r w:rsidR="00EF4ECF">
        <w:t>revised Table 6C-1 to define low speed and high</w:t>
      </w:r>
      <w:r w:rsidR="51CE795D">
        <w:t>-</w:t>
      </w:r>
      <w:r w:rsidR="00B50B75">
        <w:t>s</w:t>
      </w:r>
      <w:r w:rsidR="00EF4ECF">
        <w:t>peed roads as well as to include interstates in the bottom row as shown below</w:t>
      </w:r>
      <w:r w:rsidR="4D975FD0">
        <w:t xml:space="preserve"> (6)</w:t>
      </w:r>
      <w:r w:rsidR="00EF4ECF">
        <w:t>.</w:t>
      </w:r>
    </w:p>
    <w:p w14:paraId="0B6A98DB" w14:textId="0DCC5CF9" w:rsidR="00EF4ECF" w:rsidRDefault="00F1151D" w:rsidP="00F1151D">
      <w:pPr>
        <w:pStyle w:val="ListParagraph"/>
        <w:jc w:val="center"/>
      </w:pPr>
      <w:r>
        <w:rPr>
          <w:rFonts w:cstheme="minorHAnsi"/>
          <w:b/>
          <w:bCs/>
          <w:noProof/>
          <w:sz w:val="24"/>
          <w:szCs w:val="24"/>
        </w:rPr>
        <w:drawing>
          <wp:inline distT="0" distB="0" distL="0" distR="0" wp14:anchorId="741765D1" wp14:editId="40A9E6F5">
            <wp:extent cx="4242018" cy="1714588"/>
            <wp:effectExtent l="0" t="0" r="6350" b="0"/>
            <wp:docPr id="1618482357" name="Picture 1618482357" descr="A sign with text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82357" name="Picture 16" descr="A sign with text and numbers"/>
                    <pic:cNvPicPr/>
                  </pic:nvPicPr>
                  <pic:blipFill>
                    <a:blip r:embed="rId18">
                      <a:extLst>
                        <a:ext uri="{28A0092B-C50C-407E-A947-70E740481C1C}">
                          <a14:useLocalDpi xmlns:a14="http://schemas.microsoft.com/office/drawing/2010/main" val="0"/>
                        </a:ext>
                      </a:extLst>
                    </a:blip>
                    <a:stretch>
                      <a:fillRect/>
                    </a:stretch>
                  </pic:blipFill>
                  <pic:spPr>
                    <a:xfrm>
                      <a:off x="0" y="0"/>
                      <a:ext cx="4242018" cy="1714588"/>
                    </a:xfrm>
                    <a:prstGeom prst="rect">
                      <a:avLst/>
                    </a:prstGeom>
                  </pic:spPr>
                </pic:pic>
              </a:graphicData>
            </a:graphic>
          </wp:inline>
        </w:drawing>
      </w:r>
    </w:p>
    <w:p w14:paraId="4EEF3FC4" w14:textId="1A4C7FE6" w:rsidR="00AA64A2" w:rsidRPr="00320145" w:rsidRDefault="00AA64A2" w:rsidP="7C724652">
      <w:pPr>
        <w:pStyle w:val="ListParagraph"/>
        <w:rPr>
          <w:i/>
          <w:iCs/>
          <w:u w:val="single"/>
        </w:rPr>
      </w:pPr>
      <w:r w:rsidRPr="7C724652">
        <w:rPr>
          <w:i/>
          <w:iCs/>
          <w:u w:val="single"/>
        </w:rPr>
        <w:t>State of Practice for Shifting Taper Lengths</w:t>
      </w:r>
    </w:p>
    <w:p w14:paraId="55A605BA" w14:textId="5FDB14E1" w:rsidR="26D38626" w:rsidRPr="00B50B75" w:rsidRDefault="26D38626" w:rsidP="4E67A22D">
      <w:pPr>
        <w:pStyle w:val="ListParagraph"/>
      </w:pPr>
      <w:r w:rsidRPr="00B50B75">
        <w:t>The MUTCD</w:t>
      </w:r>
      <w:r w:rsidR="251EC34C" w:rsidRPr="00B50B75">
        <w:t xml:space="preserve"> NPA</w:t>
      </w:r>
      <w:r w:rsidR="79F26790" w:rsidRPr="00B50B75">
        <w:t xml:space="preserve"> provides </w:t>
      </w:r>
      <w:r w:rsidR="4232661B" w:rsidRPr="00B50B75">
        <w:t xml:space="preserve">guidance about </w:t>
      </w:r>
      <w:r w:rsidR="79F26790" w:rsidRPr="00B50B75">
        <w:t>appropriate taper length</w:t>
      </w:r>
      <w:r w:rsidR="1F390921" w:rsidRPr="00B50B75">
        <w:t>s</w:t>
      </w:r>
      <w:r w:rsidR="79F26790" w:rsidRPr="00B50B75">
        <w:t xml:space="preserve"> in</w:t>
      </w:r>
      <w:r w:rsidRPr="00B50B75">
        <w:t xml:space="preserve"> section 6</w:t>
      </w:r>
      <w:r w:rsidR="7E7858BD" w:rsidRPr="00B50B75">
        <w:t>B</w:t>
      </w:r>
      <w:r w:rsidRPr="00B50B75">
        <w:t>08</w:t>
      </w:r>
      <w:r w:rsidR="67C4E9CE" w:rsidRPr="00B50B75">
        <w:t xml:space="preserve">. </w:t>
      </w:r>
      <w:r w:rsidR="46C0E04F" w:rsidRPr="00B50B75">
        <w:t>This section explains that</w:t>
      </w:r>
      <w:r w:rsidR="46C0E04F" w:rsidRPr="00B50B75">
        <w:rPr>
          <w:rFonts w:eastAsiaTheme="minorEastAsia"/>
        </w:rPr>
        <w:t xml:space="preserve"> a shifting taper is used when a lateral shift is needed. It also clarifies that a taper distance longer than the minimum </w:t>
      </w:r>
      <w:r w:rsidR="599B1CD3" w:rsidRPr="00B50B75">
        <w:rPr>
          <w:rFonts w:eastAsiaTheme="minorEastAsia"/>
        </w:rPr>
        <w:t xml:space="preserve">required distance may </w:t>
      </w:r>
      <w:r w:rsidR="46C0E04F" w:rsidRPr="00B50B75">
        <w:rPr>
          <w:rFonts w:eastAsiaTheme="minorEastAsia"/>
        </w:rPr>
        <w:t>be beneficial</w:t>
      </w:r>
      <w:r w:rsidR="37029AF4" w:rsidRPr="00B50B75">
        <w:rPr>
          <w:rFonts w:eastAsiaTheme="minorEastAsia"/>
        </w:rPr>
        <w:t xml:space="preserve"> when space allows for it</w:t>
      </w:r>
      <w:r w:rsidR="5363C431" w:rsidRPr="00B50B75">
        <w:rPr>
          <w:rFonts w:eastAsiaTheme="minorEastAsia"/>
        </w:rPr>
        <w:t xml:space="preserve"> </w:t>
      </w:r>
      <w:r w:rsidR="46C0E04F" w:rsidRPr="00B50B75">
        <w:t xml:space="preserve">(1). </w:t>
      </w:r>
      <w:r w:rsidR="67C4E9CE" w:rsidRPr="00B50B75">
        <w:t>Table 6</w:t>
      </w:r>
      <w:r w:rsidR="738D1F76" w:rsidRPr="00B50B75">
        <w:t>B-</w:t>
      </w:r>
      <w:r w:rsidR="67C4E9CE" w:rsidRPr="00B50B75">
        <w:t>3 and 6</w:t>
      </w:r>
      <w:r w:rsidR="032C0A7A" w:rsidRPr="00B50B75">
        <w:t>B</w:t>
      </w:r>
      <w:r w:rsidR="67C4E9CE" w:rsidRPr="00B50B75">
        <w:t xml:space="preserve">-4 displayed below provide the taper length criteria for Temporary </w:t>
      </w:r>
      <w:r w:rsidR="0F49F51E" w:rsidRPr="00B50B75">
        <w:t>Traffic Control Zones and the formulas for determining taper length, respectively</w:t>
      </w:r>
      <w:r w:rsidR="6D1DD4A4" w:rsidRPr="00B50B75">
        <w:t xml:space="preserve"> (1)</w:t>
      </w:r>
      <w:r w:rsidR="0F49F51E" w:rsidRPr="00B50B75">
        <w:t xml:space="preserve">. </w:t>
      </w:r>
    </w:p>
    <w:p w14:paraId="76DBBB8C" w14:textId="6347572F" w:rsidR="00320145" w:rsidRPr="00B50B75" w:rsidRDefault="00320145" w:rsidP="00CE3A48">
      <w:pPr>
        <w:pStyle w:val="ListParagraph"/>
        <w:jc w:val="center"/>
        <w:rPr>
          <w:i/>
          <w:iCs/>
          <w:u w:val="single"/>
        </w:rPr>
      </w:pPr>
      <w:r w:rsidRPr="00B50B75">
        <w:rPr>
          <w:noProof/>
        </w:rPr>
        <w:lastRenderedPageBreak/>
        <w:drawing>
          <wp:inline distT="0" distB="0" distL="0" distR="0" wp14:anchorId="36C22380" wp14:editId="26F84801">
            <wp:extent cx="4924432" cy="2533655"/>
            <wp:effectExtent l="0" t="0" r="9525" b="0"/>
            <wp:docPr id="1268666080" name="Picture 1" descr="A table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24432" cy="2533655"/>
                    </a:xfrm>
                    <a:prstGeom prst="rect">
                      <a:avLst/>
                    </a:prstGeom>
                  </pic:spPr>
                </pic:pic>
              </a:graphicData>
            </a:graphic>
          </wp:inline>
        </w:drawing>
      </w:r>
    </w:p>
    <w:p w14:paraId="72FB8195" w14:textId="7BB1BD8B" w:rsidR="00320145" w:rsidRPr="00B50B75" w:rsidRDefault="00320145" w:rsidP="00320145">
      <w:pPr>
        <w:pStyle w:val="ListParagraph"/>
        <w:jc w:val="center"/>
        <w:rPr>
          <w:i/>
          <w:iCs/>
          <w:u w:val="single"/>
        </w:rPr>
      </w:pPr>
      <w:r w:rsidRPr="00B50B75">
        <w:rPr>
          <w:noProof/>
        </w:rPr>
        <w:drawing>
          <wp:inline distT="0" distB="0" distL="0" distR="0" wp14:anchorId="6CC1712F" wp14:editId="50F4D8A1">
            <wp:extent cx="4572009" cy="2809881"/>
            <wp:effectExtent l="0" t="0" r="0" b="9525"/>
            <wp:docPr id="1017571824" name="Picture 1"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71824" name="Picture 1" descr="A chart with text and numbers&#10;&#10;Description automatically generated with medium confidence"/>
                    <pic:cNvPicPr/>
                  </pic:nvPicPr>
                  <pic:blipFill>
                    <a:blip r:embed="rId20"/>
                    <a:stretch>
                      <a:fillRect/>
                    </a:stretch>
                  </pic:blipFill>
                  <pic:spPr>
                    <a:xfrm>
                      <a:off x="0" y="0"/>
                      <a:ext cx="4572009" cy="2809881"/>
                    </a:xfrm>
                    <a:prstGeom prst="rect">
                      <a:avLst/>
                    </a:prstGeom>
                  </pic:spPr>
                </pic:pic>
              </a:graphicData>
            </a:graphic>
          </wp:inline>
        </w:drawing>
      </w:r>
    </w:p>
    <w:p w14:paraId="5ECD26BE" w14:textId="3A3772FA" w:rsidR="7C724652" w:rsidRPr="00B50B75" w:rsidRDefault="77670823" w:rsidP="4E67A22D">
      <w:pPr>
        <w:pStyle w:val="ListParagraph"/>
      </w:pPr>
      <w:r w:rsidRPr="00B50B75">
        <w:t>Section 3B.12 of the MUTCD NPA describes taper lengths for permanent applications. This section uses the same formulas indicated in Table 6B-4, but calls for the taper length to be the full length of L rather than half of L</w:t>
      </w:r>
      <w:r w:rsidR="4D76D2D5" w:rsidRPr="00B50B75">
        <w:t xml:space="preserve"> (1)</w:t>
      </w:r>
      <w:r w:rsidRPr="00B50B75">
        <w:t xml:space="preserve">. </w:t>
      </w:r>
    </w:p>
    <w:p w14:paraId="5498C0A3" w14:textId="51DB1E49" w:rsidR="4E67A22D" w:rsidRPr="00B50B75" w:rsidRDefault="4E67A22D" w:rsidP="4E67A22D">
      <w:pPr>
        <w:pStyle w:val="ListParagraph"/>
      </w:pPr>
    </w:p>
    <w:p w14:paraId="17DED9EB" w14:textId="2332508B" w:rsidR="18EDE5EB" w:rsidRPr="00B50B75" w:rsidRDefault="18EDE5EB" w:rsidP="7C724652">
      <w:pPr>
        <w:pStyle w:val="ListParagraph"/>
        <w:rPr>
          <w:rFonts w:eastAsia="Times New Roman" w:cs="Times New Roman"/>
        </w:rPr>
      </w:pPr>
      <w:r w:rsidRPr="00B50B75">
        <w:t>The Wisconsin DOT</w:t>
      </w:r>
      <w:r w:rsidR="3CC7A1F7" w:rsidRPr="00B50B75">
        <w:t xml:space="preserve"> provides an MUTCD supplement with guidance on device spacing that states the maximum distance in feet between devices in a taper should not </w:t>
      </w:r>
      <w:r w:rsidR="2B0B0BB9" w:rsidRPr="00B50B75">
        <w:rPr>
          <w:rFonts w:eastAsia="Times New Roman" w:cs="Times New Roman"/>
        </w:rPr>
        <w:t>exceed 1.0 times the speed limit in mph. This distance in feet may be modified to a maximum of 1.25 times the speed limit in mph to correspond with the pavement marking cycle length (length of one broken line segment plus one gap)</w:t>
      </w:r>
      <w:r w:rsidR="0EC679E6" w:rsidRPr="00B50B75">
        <w:rPr>
          <w:rFonts w:eastAsia="Times New Roman" w:cs="Times New Roman"/>
        </w:rPr>
        <w:t xml:space="preserve"> (</w:t>
      </w:r>
      <w:r w:rsidR="645ED577" w:rsidRPr="00B50B75">
        <w:rPr>
          <w:rFonts w:eastAsia="Times New Roman" w:cs="Times New Roman"/>
        </w:rPr>
        <w:t>3</w:t>
      </w:r>
      <w:r w:rsidR="0EC679E6" w:rsidRPr="00B50B75">
        <w:rPr>
          <w:rFonts w:eastAsia="Times New Roman" w:cs="Times New Roman"/>
        </w:rPr>
        <w:t>)</w:t>
      </w:r>
      <w:r w:rsidR="2B0B0BB9" w:rsidRPr="00B50B75">
        <w:rPr>
          <w:rFonts w:eastAsia="Times New Roman" w:cs="Times New Roman"/>
        </w:rPr>
        <w:t>.</w:t>
      </w:r>
    </w:p>
    <w:p w14:paraId="77EC56A3" w14:textId="659699DF" w:rsidR="7C724652" w:rsidRPr="00B50B75" w:rsidRDefault="7C724652" w:rsidP="7C724652">
      <w:pPr>
        <w:pStyle w:val="ListParagraph"/>
        <w:rPr>
          <w:rFonts w:eastAsia="Times New Roman" w:cs="Times New Roman"/>
        </w:rPr>
      </w:pPr>
    </w:p>
    <w:p w14:paraId="0CBD4677" w14:textId="5F6C9754" w:rsidR="0018CEB5" w:rsidRPr="00B50B75" w:rsidRDefault="0018CEB5" w:rsidP="4E67A22D">
      <w:pPr>
        <w:pStyle w:val="ListParagraph"/>
        <w:rPr>
          <w:rFonts w:eastAsia="Times New Roman" w:cs="Times New Roman"/>
        </w:rPr>
      </w:pPr>
      <w:r w:rsidRPr="00B50B75">
        <w:rPr>
          <w:rFonts w:eastAsia="Times New Roman" w:cs="Times New Roman"/>
        </w:rPr>
        <w:t xml:space="preserve">The Ohio DOT provides </w:t>
      </w:r>
      <w:r w:rsidR="6DED6FCC" w:rsidRPr="00B50B75">
        <w:rPr>
          <w:rFonts w:eastAsia="Times New Roman" w:cs="Times New Roman"/>
        </w:rPr>
        <w:t xml:space="preserve">further guidance that a shifting taper should be approximately L in length, unless speeds are less than 50 mph, in which case the shifting taper may be approximately ½ L. The </w:t>
      </w:r>
      <w:r w:rsidR="11C72BD9" w:rsidRPr="00B50B75">
        <w:rPr>
          <w:rFonts w:eastAsia="Times New Roman" w:cs="Times New Roman"/>
        </w:rPr>
        <w:t>adjusted table the Ohio DOT provides is shown below (</w:t>
      </w:r>
      <w:r w:rsidR="3ACF8869" w:rsidRPr="00B50B75">
        <w:rPr>
          <w:rFonts w:eastAsia="Times New Roman" w:cs="Times New Roman"/>
        </w:rPr>
        <w:t>11</w:t>
      </w:r>
      <w:r w:rsidR="11C72BD9" w:rsidRPr="00B50B75">
        <w:rPr>
          <w:rFonts w:eastAsia="Times New Roman" w:cs="Times New Roman"/>
        </w:rPr>
        <w:t>):</w:t>
      </w:r>
    </w:p>
    <w:p w14:paraId="641BFF4B" w14:textId="2164C368" w:rsidR="11C72BD9" w:rsidRPr="00CE3A48" w:rsidRDefault="11C72BD9" w:rsidP="00CE3A48">
      <w:pPr>
        <w:pStyle w:val="ListParagraph"/>
        <w:jc w:val="center"/>
        <w:rPr>
          <w:color w:val="0070C0"/>
        </w:rPr>
      </w:pPr>
      <w:r>
        <w:rPr>
          <w:noProof/>
        </w:rPr>
        <w:lastRenderedPageBreak/>
        <w:drawing>
          <wp:inline distT="0" distB="0" distL="0" distR="0" wp14:anchorId="2B618011" wp14:editId="3445BE55">
            <wp:extent cx="2819400" cy="1524000"/>
            <wp:effectExtent l="0" t="0" r="0" b="0"/>
            <wp:docPr id="1526662937" name="Picture 1526662937"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19400" cy="1524000"/>
                    </a:xfrm>
                    <a:prstGeom prst="rect">
                      <a:avLst/>
                    </a:prstGeom>
                  </pic:spPr>
                </pic:pic>
              </a:graphicData>
            </a:graphic>
          </wp:inline>
        </w:drawing>
      </w:r>
      <w:r>
        <w:br/>
      </w:r>
    </w:p>
    <w:p w14:paraId="5879A9EC" w14:textId="42075913" w:rsidR="7C724652" w:rsidRPr="00CE3A48" w:rsidRDefault="7C724652" w:rsidP="7C724652">
      <w:pPr>
        <w:pStyle w:val="ListParagraph"/>
        <w:rPr>
          <w:color w:val="0070C0"/>
        </w:rPr>
      </w:pPr>
    </w:p>
    <w:p w14:paraId="1C45165F" w14:textId="151C0FF6" w:rsidR="11C72BD9" w:rsidRPr="00B50B75" w:rsidRDefault="11C72BD9" w:rsidP="7C724652">
      <w:pPr>
        <w:pStyle w:val="ListParagraph"/>
      </w:pPr>
      <w:r w:rsidRPr="00B50B75">
        <w:t xml:space="preserve">The South Carolina </w:t>
      </w:r>
      <w:r w:rsidR="00EB5536" w:rsidRPr="00B50B75">
        <w:t>DOT has adopted the following values for taper lengths (</w:t>
      </w:r>
      <w:r w:rsidR="526AA825" w:rsidRPr="00B50B75">
        <w:t>4</w:t>
      </w:r>
      <w:r w:rsidR="00EB5536" w:rsidRPr="00B50B75">
        <w:t>):</w:t>
      </w:r>
    </w:p>
    <w:p w14:paraId="56D09911" w14:textId="7DA489EF" w:rsidR="00EB5536" w:rsidRPr="00B50B75" w:rsidRDefault="00EB5536" w:rsidP="00CE3A48">
      <w:pPr>
        <w:pStyle w:val="ListParagraph"/>
        <w:numPr>
          <w:ilvl w:val="0"/>
          <w:numId w:val="5"/>
        </w:numPr>
        <w:spacing w:after="160" w:line="259" w:lineRule="auto"/>
        <w:rPr>
          <w:rFonts w:eastAsia="Times New Roman" w:cs="Times New Roman"/>
        </w:rPr>
      </w:pPr>
      <w:r w:rsidRPr="00B50B75">
        <w:rPr>
          <w:rFonts w:eastAsia="Times New Roman" w:cs="Times New Roman"/>
        </w:rPr>
        <w:t xml:space="preserve">Urban Low Speed ≤ 35 mph Taper Length = 250 Feet </w:t>
      </w:r>
    </w:p>
    <w:p w14:paraId="33ED6546" w14:textId="1D4D4187" w:rsidR="00EB5536" w:rsidRPr="00B50B75" w:rsidRDefault="00EB5536" w:rsidP="00CE3A48">
      <w:pPr>
        <w:pStyle w:val="ListParagraph"/>
        <w:numPr>
          <w:ilvl w:val="0"/>
          <w:numId w:val="5"/>
        </w:numPr>
        <w:spacing w:after="160" w:line="259" w:lineRule="auto"/>
        <w:rPr>
          <w:rFonts w:eastAsia="Times New Roman" w:cs="Times New Roman"/>
        </w:rPr>
      </w:pPr>
      <w:r w:rsidRPr="00B50B75">
        <w:rPr>
          <w:rFonts w:eastAsia="Times New Roman" w:cs="Times New Roman"/>
        </w:rPr>
        <w:t xml:space="preserve">Primary Routes ≥ 40 mph Taper Length = 700 Feet </w:t>
      </w:r>
    </w:p>
    <w:p w14:paraId="4748F220" w14:textId="0C3EAA00" w:rsidR="7C724652" w:rsidRPr="00B50B75" w:rsidRDefault="00EB5536" w:rsidP="7C724652">
      <w:pPr>
        <w:pStyle w:val="ListParagraph"/>
        <w:numPr>
          <w:ilvl w:val="0"/>
          <w:numId w:val="5"/>
        </w:numPr>
        <w:spacing w:after="160" w:line="259" w:lineRule="auto"/>
        <w:rPr>
          <w:rFonts w:eastAsia="Times New Roman" w:cs="Times New Roman"/>
        </w:rPr>
      </w:pPr>
      <w:r w:rsidRPr="00B50B75">
        <w:rPr>
          <w:rFonts w:eastAsia="Times New Roman" w:cs="Times New Roman"/>
        </w:rPr>
        <w:t>Interstate Routes Taper Length = 800 Feet</w:t>
      </w:r>
    </w:p>
    <w:p w14:paraId="6DE5C5F8" w14:textId="306D52A5" w:rsidR="0DB881FE" w:rsidRPr="00B50B75" w:rsidRDefault="0DB881FE" w:rsidP="00CE3A48">
      <w:pPr>
        <w:spacing w:after="160" w:line="259" w:lineRule="auto"/>
        <w:rPr>
          <w:rFonts w:eastAsia="Times New Roman" w:cs="Times New Roman"/>
        </w:rPr>
      </w:pPr>
      <w:r w:rsidRPr="00B50B75">
        <w:rPr>
          <w:rFonts w:eastAsia="Times New Roman" w:cs="Times New Roman"/>
        </w:rPr>
        <w:t>The Maryland DOT</w:t>
      </w:r>
      <w:r w:rsidR="54FD316C" w:rsidRPr="00B50B75">
        <w:rPr>
          <w:rFonts w:eastAsia="Times New Roman" w:cs="Times New Roman"/>
        </w:rPr>
        <w:t xml:space="preserve"> provides further guidance on taper lengths and an adjusted table 6C-3. The Maryland supplemental information </w:t>
      </w:r>
      <w:r w:rsidR="28757209" w:rsidRPr="00B50B75">
        <w:rPr>
          <w:rFonts w:eastAsia="Times New Roman" w:cs="Times New Roman"/>
        </w:rPr>
        <w:t xml:space="preserve">states the minimum taper length for State owned, operated, and maintained expressways/freeways shall be 300 m (1000 ft). This taper shall </w:t>
      </w:r>
      <w:proofErr w:type="gramStart"/>
      <w:r w:rsidR="28757209" w:rsidRPr="00B50B75">
        <w:rPr>
          <w:rFonts w:eastAsia="Times New Roman" w:cs="Times New Roman"/>
        </w:rPr>
        <w:t>be located in</w:t>
      </w:r>
      <w:proofErr w:type="gramEnd"/>
      <w:r w:rsidR="28757209" w:rsidRPr="00B50B75">
        <w:rPr>
          <w:rFonts w:eastAsia="Times New Roman" w:cs="Times New Roman"/>
        </w:rPr>
        <w:t xml:space="preserve"> the transition area. </w:t>
      </w:r>
      <w:r w:rsidR="441E2C82" w:rsidRPr="00B50B75">
        <w:rPr>
          <w:rFonts w:eastAsia="Times New Roman" w:cs="Times New Roman"/>
        </w:rPr>
        <w:t>In Maryland, a</w:t>
      </w:r>
      <w:r w:rsidR="28757209" w:rsidRPr="00B50B75">
        <w:rPr>
          <w:rFonts w:eastAsia="Times New Roman" w:cs="Times New Roman"/>
        </w:rPr>
        <w:t xml:space="preserve"> shifting taper should have a minimum length of 0.5L</w:t>
      </w:r>
      <w:r w:rsidR="16FB53FB" w:rsidRPr="00B50B75">
        <w:rPr>
          <w:rFonts w:eastAsia="Times New Roman" w:cs="Times New Roman"/>
        </w:rPr>
        <w:t>. Table 6C-3 for the Maryland DOT is provided below</w:t>
      </w:r>
      <w:r w:rsidR="29AAE877" w:rsidRPr="00B50B75">
        <w:rPr>
          <w:rFonts w:eastAsia="Times New Roman" w:cs="Times New Roman"/>
        </w:rPr>
        <w:t xml:space="preserve"> (12)</w:t>
      </w:r>
      <w:r w:rsidR="16FB53FB" w:rsidRPr="00B50B75">
        <w:rPr>
          <w:rFonts w:eastAsia="Times New Roman" w:cs="Times New Roman"/>
        </w:rPr>
        <w:t>:</w:t>
      </w:r>
    </w:p>
    <w:p w14:paraId="60863512" w14:textId="4FFB5538" w:rsidR="16FB53FB" w:rsidRPr="00B50B75" w:rsidRDefault="16FB53FB" w:rsidP="7C724652">
      <w:pPr>
        <w:spacing w:after="160" w:line="259" w:lineRule="auto"/>
      </w:pPr>
      <w:r>
        <w:rPr>
          <w:noProof/>
        </w:rPr>
        <w:drawing>
          <wp:inline distT="0" distB="0" distL="0" distR="0" wp14:anchorId="4A408318" wp14:editId="4ACEAD8B">
            <wp:extent cx="2939970" cy="1828800"/>
            <wp:effectExtent l="0" t="0" r="0" b="0"/>
            <wp:docPr id="2018428009" name="Picture 2018428009" descr="A white and black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939970" cy="1828800"/>
                    </a:xfrm>
                    <a:prstGeom prst="rect">
                      <a:avLst/>
                    </a:prstGeom>
                  </pic:spPr>
                </pic:pic>
              </a:graphicData>
            </a:graphic>
          </wp:inline>
        </w:drawing>
      </w:r>
      <w:r>
        <w:br/>
      </w:r>
    </w:p>
    <w:p w14:paraId="7C738820" w14:textId="576870DB" w:rsidR="190048BE" w:rsidRPr="00B50B75" w:rsidRDefault="190048BE" w:rsidP="7C724652">
      <w:pPr>
        <w:spacing w:after="160" w:line="259" w:lineRule="auto"/>
        <w:rPr>
          <w:rFonts w:eastAsia="Times New Roman" w:cs="Times New Roman"/>
        </w:rPr>
      </w:pPr>
      <w:r w:rsidRPr="00B50B75">
        <w:rPr>
          <w:rFonts w:eastAsia="Times New Roman" w:cs="Times New Roman"/>
        </w:rPr>
        <w:t>The Texas DOT</w:t>
      </w:r>
      <w:r w:rsidR="0C7C6BF9" w:rsidRPr="00B50B75">
        <w:rPr>
          <w:rFonts w:eastAsia="Times New Roman" w:cs="Times New Roman"/>
        </w:rPr>
        <w:t xml:space="preserve"> provides a table for merging taper lengths and spacing of channelizing devices, shown below:</w:t>
      </w:r>
    </w:p>
    <w:p w14:paraId="525EEC76" w14:textId="3166A8FE" w:rsidR="0C7C6BF9" w:rsidRPr="00CE3A48" w:rsidRDefault="0C7C6BF9" w:rsidP="00CE3A48">
      <w:pPr>
        <w:spacing w:after="160" w:line="259" w:lineRule="auto"/>
        <w:jc w:val="center"/>
        <w:rPr>
          <w:color w:val="0070C0"/>
        </w:rPr>
      </w:pPr>
      <w:r>
        <w:rPr>
          <w:noProof/>
        </w:rPr>
        <w:lastRenderedPageBreak/>
        <w:drawing>
          <wp:inline distT="0" distB="0" distL="0" distR="0" wp14:anchorId="2B9A768B" wp14:editId="245FED9D">
            <wp:extent cx="3162300" cy="2266950"/>
            <wp:effectExtent l="0" t="0" r="0" b="0"/>
            <wp:docPr id="1359553866" name="Picture 1359553866"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162300" cy="2266950"/>
                    </a:xfrm>
                    <a:prstGeom prst="rect">
                      <a:avLst/>
                    </a:prstGeom>
                  </pic:spPr>
                </pic:pic>
              </a:graphicData>
            </a:graphic>
          </wp:inline>
        </w:drawing>
      </w:r>
      <w:r>
        <w:br/>
      </w:r>
    </w:p>
    <w:p w14:paraId="5795C7F7" w14:textId="5CA89B61" w:rsidR="7C724652" w:rsidRDefault="7C724652" w:rsidP="7C724652">
      <w:pPr>
        <w:pStyle w:val="ListParagraph"/>
      </w:pPr>
    </w:p>
    <w:p w14:paraId="05A4F411" w14:textId="108419A2" w:rsidR="007815AB" w:rsidRPr="007815AB" w:rsidRDefault="007815AB" w:rsidP="00033A19">
      <w:pPr>
        <w:pStyle w:val="ListParagraph"/>
        <w:rPr>
          <w:b/>
          <w:bCs/>
          <w:i/>
          <w:iCs/>
          <w:u w:val="single"/>
        </w:rPr>
      </w:pPr>
      <w:r w:rsidRPr="007815AB">
        <w:rPr>
          <w:i/>
          <w:iCs/>
          <w:u w:val="single"/>
        </w:rPr>
        <w:t>Relevant Research</w:t>
      </w:r>
      <w:r w:rsidR="00AA64A2">
        <w:rPr>
          <w:i/>
          <w:iCs/>
          <w:u w:val="single"/>
        </w:rPr>
        <w:t xml:space="preserve"> for Advance Warning Sign Spacing and Placement</w:t>
      </w:r>
    </w:p>
    <w:p w14:paraId="0A789F08" w14:textId="790E6320" w:rsidR="0017123E" w:rsidRDefault="00BA5EC0" w:rsidP="00033A19">
      <w:pPr>
        <w:pStyle w:val="ListParagraph"/>
      </w:pPr>
      <w:r>
        <w:t xml:space="preserve">Little research </w:t>
      </w:r>
      <w:r w:rsidR="00E17055">
        <w:t xml:space="preserve">that focuses on TTC advance warning sign placement is </w:t>
      </w:r>
      <w:r w:rsidR="004B6B2D">
        <w:t xml:space="preserve">publicly available. </w:t>
      </w:r>
      <w:r w:rsidR="00BF4758">
        <w:t>A sim</w:t>
      </w:r>
      <w:r w:rsidR="00AB3FCE">
        <w:t>ulator study by Hang et al. sought to understand</w:t>
      </w:r>
      <w:r w:rsidR="00D31EE7">
        <w:t xml:space="preserve"> how placement of Lane End signs and traffic volume impact driving behaviors in TTC zones. They found that the </w:t>
      </w:r>
      <w:r w:rsidR="00FE5972">
        <w:t>placement</w:t>
      </w:r>
      <w:r w:rsidR="00D31EE7">
        <w:t xml:space="preserve"> of the Lane End sign had a significant impact on </w:t>
      </w:r>
      <w:r w:rsidR="00FE5972">
        <w:t>perception of drivers</w:t>
      </w:r>
      <w:r w:rsidR="00850B96">
        <w:t xml:space="preserve"> approaching work zones. They recommended installing the Lane End signs 500 meters in advance of the merge point</w:t>
      </w:r>
      <w:r w:rsidR="00B6528E">
        <w:t xml:space="preserve"> (Hang, et al.)</w:t>
      </w:r>
      <w:r w:rsidR="02961F63">
        <w:t xml:space="preserve"> (7)</w:t>
      </w:r>
      <w:r w:rsidR="00850B96">
        <w:t xml:space="preserve">. </w:t>
      </w:r>
      <w:r w:rsidR="00B6528E">
        <w:t xml:space="preserve">This study looked at a specific type of advance warning sign </w:t>
      </w:r>
      <w:r w:rsidR="00AC14DF">
        <w:t xml:space="preserve">with a focus on lane merges. </w:t>
      </w:r>
    </w:p>
    <w:p w14:paraId="61BFF1EB" w14:textId="77777777" w:rsidR="00F17684" w:rsidRDefault="00F17684" w:rsidP="00033A19">
      <w:pPr>
        <w:pStyle w:val="ListParagraph"/>
      </w:pPr>
    </w:p>
    <w:p w14:paraId="71100741" w14:textId="4F359C56" w:rsidR="00BF6D88" w:rsidRDefault="00164835" w:rsidP="00033A19">
      <w:pPr>
        <w:pStyle w:val="ListParagraph"/>
      </w:pPr>
      <w:r>
        <w:t xml:space="preserve">Another study </w:t>
      </w:r>
      <w:r w:rsidR="007B5219">
        <w:t>by Li and Bai sought to determine optimal placement of portable changeable message signs (PCMS) in work zones</w:t>
      </w:r>
      <w:r w:rsidR="00B91C72">
        <w:t xml:space="preserve"> to reduce speeds</w:t>
      </w:r>
      <w:r w:rsidR="007B5219">
        <w:t>.</w:t>
      </w:r>
      <w:r w:rsidR="00B91C72">
        <w:t xml:space="preserve"> The study included two field experiments in which PCMS were placed in three differen</w:t>
      </w:r>
      <w:r w:rsidR="00BF6D88">
        <w:t xml:space="preserve">t locations and vehicle speeds were evaluated. The first experiment found that 575 ft in front of the first static TTC sign was the ideal location. The second experiment was conducted </w:t>
      </w:r>
      <w:proofErr w:type="gramStart"/>
      <w:r w:rsidR="00BF6D88">
        <w:t>in an effort to</w:t>
      </w:r>
      <w:proofErr w:type="gramEnd"/>
      <w:r w:rsidR="00BF6D88">
        <w:t xml:space="preserve"> confirm the findings of the first study by placing PCMS 750 ft, 575 ft, and 400 ft in advance of the first static TTC sign. A regression analysis found that the optimal PCMS placement was between 556ft and 575 ft in advance of the first TTC static sign</w:t>
      </w:r>
      <w:r w:rsidR="6615F486">
        <w:t xml:space="preserve"> (8)</w:t>
      </w:r>
      <w:r w:rsidR="00BF6D88">
        <w:t>.</w:t>
      </w:r>
    </w:p>
    <w:p w14:paraId="0E59CF54" w14:textId="77777777" w:rsidR="007912F4" w:rsidRDefault="007912F4" w:rsidP="00033A19">
      <w:pPr>
        <w:pStyle w:val="ListParagraph"/>
      </w:pPr>
    </w:p>
    <w:p w14:paraId="7E9543A4" w14:textId="6CF0E233" w:rsidR="00AA64A2" w:rsidRPr="00B50B75" w:rsidRDefault="00974478" w:rsidP="00AA64A2">
      <w:pPr>
        <w:pStyle w:val="ListParagraph"/>
      </w:pPr>
      <w:r>
        <w:t xml:space="preserve">While few studies have evaluated ideal placement of </w:t>
      </w:r>
      <w:r w:rsidR="000413AD">
        <w:t xml:space="preserve">TTC warning sign placement, </w:t>
      </w:r>
      <w:r w:rsidR="0089077A">
        <w:t xml:space="preserve">studies such as </w:t>
      </w:r>
      <w:r w:rsidR="00687173">
        <w:t xml:space="preserve">those </w:t>
      </w:r>
      <w:r w:rsidR="0089077A">
        <w:t xml:space="preserve">in </w:t>
      </w:r>
      <w:r w:rsidR="00ED5363">
        <w:t xml:space="preserve">Texas A&amp;M Transportation Institute’s (TTI’s) “Studies to Improve Temporary </w:t>
      </w:r>
      <w:r w:rsidR="00847C5B">
        <w:t>Guide Signs in Work Zones” have acknowledged the importance of sign placement in work zones to provide adequate time for drivers to view and process the sign content</w:t>
      </w:r>
      <w:r w:rsidR="1040DD7F">
        <w:t xml:space="preserve"> (9)</w:t>
      </w:r>
      <w:r w:rsidR="00847C5B">
        <w:t xml:space="preserve">. </w:t>
      </w:r>
      <w:r w:rsidR="000413AD">
        <w:t xml:space="preserve"> </w:t>
      </w:r>
    </w:p>
    <w:p w14:paraId="2E9A8E8B" w14:textId="77777777" w:rsidR="00B50B75" w:rsidRDefault="00AA64A2" w:rsidP="00CE3A48">
      <w:pPr>
        <w:spacing w:after="0" w:line="240" w:lineRule="auto"/>
        <w:rPr>
          <w:i/>
          <w:iCs/>
          <w:u w:val="single"/>
        </w:rPr>
      </w:pPr>
      <w:r w:rsidRPr="7C724652">
        <w:rPr>
          <w:i/>
          <w:iCs/>
          <w:u w:val="single"/>
        </w:rPr>
        <w:t>Relevant Research for Shifting Taper Lengths</w:t>
      </w:r>
    </w:p>
    <w:p w14:paraId="4B5C56A8" w14:textId="51C5DC20" w:rsidR="007815AB" w:rsidRPr="00B50B75" w:rsidRDefault="0E2824CD" w:rsidP="00CE3A48">
      <w:pPr>
        <w:spacing w:after="0" w:line="240" w:lineRule="auto"/>
        <w:rPr>
          <w:rFonts w:eastAsia="Times New Roman" w:cs="Times New Roman"/>
        </w:rPr>
      </w:pPr>
      <w:r w:rsidRPr="00B50B75">
        <w:t xml:space="preserve">The Transportation Research Board performed a </w:t>
      </w:r>
      <w:r w:rsidR="105A2848" w:rsidRPr="00B50B75">
        <w:t xml:space="preserve">study that took place in the 1970s </w:t>
      </w:r>
      <w:r w:rsidR="78A80137" w:rsidRPr="00B50B75">
        <w:t xml:space="preserve">and </w:t>
      </w:r>
      <w:r w:rsidR="105A2848" w:rsidRPr="00B50B75">
        <w:t>reevaluated the existing taper length formula</w:t>
      </w:r>
      <w:r w:rsidR="54F6DB33" w:rsidRPr="00B50B75">
        <w:t xml:space="preserve"> that at the time suggested longer taper lengths. </w:t>
      </w:r>
      <w:r w:rsidR="19ECED51" w:rsidRPr="00B50B75">
        <w:rPr>
          <w:rFonts w:eastAsia="Times New Roman" w:cs="Times New Roman"/>
        </w:rPr>
        <w:t>“As a result of this field evaluation of the operational effects of taper length, the Federal Highway Administration (FHWA) and the National Advisory Committee on Uniform Traffic Control Devices (NAC) have approved the proposed taper formula for inclusion in the MUTCD. The proposed taper formula [L = Ws2/ 157.5 (L=Ws2/ 60, when S</w:t>
      </w:r>
      <w:r w:rsidR="708B59AF" w:rsidRPr="00B50B75">
        <w:rPr>
          <w:rFonts w:eastAsia="Times New Roman" w:cs="Times New Roman"/>
        </w:rPr>
        <w:t xml:space="preserve"> </w:t>
      </w:r>
      <w:r w:rsidR="19ECED51" w:rsidRPr="00B50B75">
        <w:rPr>
          <w:rFonts w:eastAsia="Times New Roman" w:cs="Times New Roman"/>
        </w:rPr>
        <w:t>is in mph)] should be used to compute taper length on urban, residential, and other streets where the posted speeds are 65 km/h (40 mph) or less. The standard taper length formula is retained for freeways, expressways, and all other roadways having a posted speed of 72 km/ h (45 mph) or greater.” The MUTCD was revised accordingly</w:t>
      </w:r>
      <w:r w:rsidR="4666739A" w:rsidRPr="00B50B75">
        <w:rPr>
          <w:rFonts w:eastAsia="Times New Roman" w:cs="Times New Roman"/>
        </w:rPr>
        <w:t xml:space="preserve"> (</w:t>
      </w:r>
      <w:r w:rsidR="6978427D" w:rsidRPr="00B50B75">
        <w:rPr>
          <w:rFonts w:eastAsia="Times New Roman" w:cs="Times New Roman"/>
        </w:rPr>
        <w:t>15</w:t>
      </w:r>
      <w:r w:rsidR="4666739A" w:rsidRPr="00B50B75">
        <w:rPr>
          <w:rFonts w:eastAsia="Times New Roman" w:cs="Times New Roman"/>
        </w:rPr>
        <w:t>)</w:t>
      </w:r>
      <w:r w:rsidR="19ECED51" w:rsidRPr="00B50B75">
        <w:rPr>
          <w:rFonts w:eastAsia="Times New Roman" w:cs="Times New Roman"/>
        </w:rPr>
        <w:t>.</w:t>
      </w:r>
    </w:p>
    <w:p w14:paraId="05A3E830" w14:textId="26C9A8CF" w:rsidR="7C724652" w:rsidRPr="00B50B75" w:rsidRDefault="7C724652" w:rsidP="7C724652">
      <w:pPr>
        <w:spacing w:after="0" w:line="240" w:lineRule="auto"/>
        <w:rPr>
          <w:rFonts w:eastAsia="Times New Roman" w:cs="Times New Roman"/>
        </w:rPr>
      </w:pPr>
    </w:p>
    <w:p w14:paraId="15666C43" w14:textId="3F15D495" w:rsidR="55576AC3" w:rsidRPr="00B50B75" w:rsidRDefault="55576AC3" w:rsidP="4E67A22D">
      <w:pPr>
        <w:spacing w:after="0" w:line="240" w:lineRule="auto"/>
        <w:rPr>
          <w:rFonts w:eastAsia="Times New Roman" w:cs="Times New Roman"/>
        </w:rPr>
      </w:pPr>
      <w:r w:rsidRPr="00B50B75">
        <w:rPr>
          <w:rFonts w:eastAsia="Times New Roman" w:cs="Times New Roman"/>
        </w:rPr>
        <w:t xml:space="preserve">Another study, </w:t>
      </w:r>
      <w:r w:rsidR="70A6C60A" w:rsidRPr="00B50B75">
        <w:rPr>
          <w:rFonts w:eastAsia="Times New Roman" w:cs="Times New Roman"/>
        </w:rPr>
        <w:t xml:space="preserve">performed by the </w:t>
      </w:r>
      <w:proofErr w:type="spellStart"/>
      <w:r w:rsidR="70A6C60A" w:rsidRPr="00B50B75">
        <w:rPr>
          <w:rFonts w:eastAsia="Times New Roman" w:cs="Times New Roman"/>
        </w:rPr>
        <w:t>Univeristy</w:t>
      </w:r>
      <w:proofErr w:type="spellEnd"/>
      <w:r w:rsidR="70A6C60A" w:rsidRPr="00B50B75">
        <w:rPr>
          <w:rFonts w:eastAsia="Times New Roman" w:cs="Times New Roman"/>
        </w:rPr>
        <w:t xml:space="preserve"> of Illinois at Urbana-Champaign, assessed drivers’ comfort levels with reduction of taper lengths in Pakistani work zone conditions. </w:t>
      </w:r>
      <w:r w:rsidR="296946FA" w:rsidRPr="00B50B75">
        <w:rPr>
          <w:rFonts w:eastAsia="Times New Roman" w:cs="Times New Roman"/>
        </w:rPr>
        <w:t xml:space="preserve">The taper lengths were reduced by various percentages on motorways and highways and the results indicated that age and driving experience played a significant role in comfort levels. </w:t>
      </w:r>
      <w:r w:rsidR="5FDC1B2B" w:rsidRPr="00B50B75">
        <w:rPr>
          <w:rFonts w:eastAsia="Times New Roman" w:cs="Times New Roman"/>
        </w:rPr>
        <w:t xml:space="preserve">For taper length reductions of up to 20%, most drivers felt either </w:t>
      </w:r>
      <w:r w:rsidR="7BB877A8" w:rsidRPr="00B50B75">
        <w:rPr>
          <w:rFonts w:eastAsia="Times New Roman" w:cs="Times New Roman"/>
        </w:rPr>
        <w:t>comfortable</w:t>
      </w:r>
      <w:r w:rsidR="5FDC1B2B" w:rsidRPr="00B50B75">
        <w:rPr>
          <w:rFonts w:eastAsia="Times New Roman" w:cs="Times New Roman"/>
        </w:rPr>
        <w:t xml:space="preserve"> or neither comfortable nor uncomfortable. However, when the taper length was reduced by 30%, most drivers felt uncomfortable. </w:t>
      </w:r>
      <w:r w:rsidR="728BAC35" w:rsidRPr="00B50B75">
        <w:rPr>
          <w:rFonts w:eastAsia="Times New Roman" w:cs="Times New Roman"/>
        </w:rPr>
        <w:t>In conclusion, the study recommends a 25% reduction in taper length for both motorways and highways</w:t>
      </w:r>
      <w:r w:rsidR="09895632" w:rsidRPr="00B50B75">
        <w:rPr>
          <w:rFonts w:eastAsia="Times New Roman" w:cs="Times New Roman"/>
        </w:rPr>
        <w:t xml:space="preserve"> (</w:t>
      </w:r>
      <w:r w:rsidR="6AD63501" w:rsidRPr="00B50B75">
        <w:rPr>
          <w:rFonts w:eastAsia="Times New Roman" w:cs="Times New Roman"/>
        </w:rPr>
        <w:t>16</w:t>
      </w:r>
      <w:r w:rsidR="09895632" w:rsidRPr="00B50B75">
        <w:rPr>
          <w:rFonts w:eastAsia="Times New Roman" w:cs="Times New Roman"/>
        </w:rPr>
        <w:t>)</w:t>
      </w:r>
      <w:r w:rsidR="728BAC35" w:rsidRPr="00B50B75">
        <w:rPr>
          <w:rFonts w:eastAsia="Times New Roman" w:cs="Times New Roman"/>
        </w:rPr>
        <w:t>.</w:t>
      </w:r>
    </w:p>
    <w:p w14:paraId="5FDEFF4F" w14:textId="15444B1E" w:rsidR="7C724652" w:rsidRPr="00B50B75" w:rsidRDefault="7C724652" w:rsidP="7C724652">
      <w:pPr>
        <w:spacing w:after="0" w:line="240" w:lineRule="auto"/>
        <w:rPr>
          <w:rFonts w:eastAsia="Times New Roman" w:cs="Times New Roman"/>
        </w:rPr>
      </w:pPr>
    </w:p>
    <w:p w14:paraId="7CABD900" w14:textId="69263CDA" w:rsidR="4A36B6F8" w:rsidRPr="00B50B75" w:rsidRDefault="4A36B6F8" w:rsidP="00CE3A48">
      <w:pPr>
        <w:spacing w:after="0" w:line="240" w:lineRule="auto"/>
        <w:rPr>
          <w:rFonts w:eastAsia="Times New Roman" w:cs="Times New Roman"/>
        </w:rPr>
      </w:pPr>
      <w:r w:rsidRPr="00B50B75">
        <w:rPr>
          <w:rFonts w:eastAsia="Times New Roman" w:cs="Times New Roman"/>
        </w:rPr>
        <w:t xml:space="preserve">A study published by </w:t>
      </w:r>
      <w:proofErr w:type="spellStart"/>
      <w:r w:rsidRPr="00B50B75">
        <w:rPr>
          <w:rFonts w:eastAsia="Times New Roman" w:cs="Times New Roman"/>
        </w:rPr>
        <w:t>Periodica</w:t>
      </w:r>
      <w:proofErr w:type="spellEnd"/>
      <w:r w:rsidRPr="00B50B75">
        <w:rPr>
          <w:rFonts w:eastAsia="Times New Roman" w:cs="Times New Roman"/>
        </w:rPr>
        <w:t xml:space="preserve"> </w:t>
      </w:r>
      <w:proofErr w:type="spellStart"/>
      <w:r w:rsidRPr="00B50B75">
        <w:rPr>
          <w:rFonts w:eastAsia="Times New Roman" w:cs="Times New Roman"/>
        </w:rPr>
        <w:t>Polytechnica</w:t>
      </w:r>
      <w:proofErr w:type="spellEnd"/>
      <w:r w:rsidRPr="00B50B75">
        <w:rPr>
          <w:rFonts w:eastAsia="Times New Roman" w:cs="Times New Roman"/>
        </w:rPr>
        <w:t xml:space="preserve"> Transportation Engineering </w:t>
      </w:r>
      <w:r w:rsidR="2B24138B" w:rsidRPr="00B50B75">
        <w:rPr>
          <w:rFonts w:eastAsia="Times New Roman" w:cs="Times New Roman"/>
        </w:rPr>
        <w:t xml:space="preserve">focused on </w:t>
      </w:r>
      <w:r w:rsidR="3E88783F" w:rsidRPr="00B50B75">
        <w:rPr>
          <w:rFonts w:eastAsia="Times New Roman" w:cs="Times New Roman"/>
        </w:rPr>
        <w:t xml:space="preserve">how </w:t>
      </w:r>
      <w:r w:rsidR="2B24138B" w:rsidRPr="00B50B75">
        <w:rPr>
          <w:rFonts w:eastAsia="Times New Roman" w:cs="Times New Roman"/>
        </w:rPr>
        <w:t xml:space="preserve">confusion among motorists about </w:t>
      </w:r>
      <w:r w:rsidR="3D5D208E" w:rsidRPr="00B50B75">
        <w:rPr>
          <w:rFonts w:eastAsia="Times New Roman" w:cs="Times New Roman"/>
        </w:rPr>
        <w:t>navigating</w:t>
      </w:r>
      <w:r w:rsidR="2B24138B" w:rsidRPr="00B50B75">
        <w:rPr>
          <w:rFonts w:eastAsia="Times New Roman" w:cs="Times New Roman"/>
        </w:rPr>
        <w:t xml:space="preserve"> lane closures during congested periods leads to inconsistent flow patterns, forced merges, travel delays, and </w:t>
      </w:r>
      <w:r w:rsidR="37D85C6D" w:rsidRPr="00B50B75">
        <w:rPr>
          <w:rFonts w:eastAsia="Times New Roman" w:cs="Times New Roman"/>
        </w:rPr>
        <w:t>crashes</w:t>
      </w:r>
      <w:r w:rsidR="2B24138B" w:rsidRPr="00B50B75">
        <w:rPr>
          <w:rFonts w:eastAsia="Times New Roman" w:cs="Times New Roman"/>
        </w:rPr>
        <w:t>. This study used simulations, encompassing 192 scenarios with varying truck compositions, transition lengths, and traffic volumes, to determine the optimal transition length for implementing a zipper merge. The study found that none of the six tested taper lengths had a significant advantage over the others, although there were operational differences that became more pronounced with higher traffic volumes and truck percentages</w:t>
      </w:r>
      <w:r w:rsidR="7252310D" w:rsidRPr="00B50B75">
        <w:rPr>
          <w:rFonts w:eastAsia="Times New Roman" w:cs="Times New Roman"/>
        </w:rPr>
        <w:t xml:space="preserve"> (</w:t>
      </w:r>
      <w:r w:rsidR="2B7561C4" w:rsidRPr="00B50B75">
        <w:rPr>
          <w:rFonts w:eastAsia="Times New Roman" w:cs="Times New Roman"/>
        </w:rPr>
        <w:t>17</w:t>
      </w:r>
      <w:r w:rsidR="7252310D" w:rsidRPr="00B50B75">
        <w:rPr>
          <w:rFonts w:eastAsia="Times New Roman" w:cs="Times New Roman"/>
        </w:rPr>
        <w:t>)</w:t>
      </w:r>
      <w:r w:rsidR="2B24138B" w:rsidRPr="00B50B75">
        <w:rPr>
          <w:rFonts w:eastAsia="Times New Roman" w:cs="Times New Roman"/>
        </w:rPr>
        <w:t>.</w:t>
      </w:r>
    </w:p>
    <w:p w14:paraId="136714D3" w14:textId="0C0D629E" w:rsidR="7C724652" w:rsidRPr="00B50B75" w:rsidRDefault="7C724652" w:rsidP="7C724652">
      <w:pPr>
        <w:spacing w:after="0" w:line="240" w:lineRule="auto"/>
        <w:rPr>
          <w:rFonts w:eastAsia="Times New Roman" w:cs="Times New Roman"/>
        </w:rPr>
      </w:pPr>
    </w:p>
    <w:p w14:paraId="38602F5B" w14:textId="79CBF656" w:rsidR="4E109FA5" w:rsidRPr="00B50B75" w:rsidRDefault="4E109FA5" w:rsidP="4E67A22D">
      <w:pPr>
        <w:spacing w:after="0" w:line="240" w:lineRule="auto"/>
        <w:rPr>
          <w:rFonts w:eastAsia="Times New Roman" w:cs="Times New Roman"/>
        </w:rPr>
      </w:pPr>
      <w:r w:rsidRPr="00B50B75">
        <w:rPr>
          <w:rFonts w:eastAsia="Times New Roman" w:cs="Times New Roman"/>
        </w:rPr>
        <w:t>Lastly, a study published in the Transportation Research Record focused on exploring the operational effects of reduced merging taper lengths on lower-speed urban arterials, where driver expectations and traffic dynamics differ from high-speed freeways. Longer tapers relied on channelizing devices to prompt lane changes, leading to some vehicles with obstructed views getting trapped and causing mobility issues. Shorter taper lengths saw drivers reacting primarily to the taper and the work vehicle itself, resulting in fewer trapped vehicles but with the merge point being closer to the work vehicle (</w:t>
      </w:r>
      <w:r w:rsidR="4EFAF4A6" w:rsidRPr="00B50B75">
        <w:rPr>
          <w:rFonts w:eastAsia="Times New Roman" w:cs="Times New Roman"/>
        </w:rPr>
        <w:t>18</w:t>
      </w:r>
      <w:r w:rsidRPr="00B50B75">
        <w:rPr>
          <w:rFonts w:eastAsia="Times New Roman" w:cs="Times New Roman"/>
        </w:rPr>
        <w:t>).</w:t>
      </w:r>
    </w:p>
    <w:p w14:paraId="512543E2" w14:textId="77777777" w:rsidR="00AA64A2" w:rsidRDefault="00AA64A2" w:rsidP="00033A19">
      <w:pPr>
        <w:pStyle w:val="ListParagraph"/>
        <w:rPr>
          <w:b/>
          <w:bCs/>
        </w:rPr>
      </w:pPr>
    </w:p>
    <w:p w14:paraId="253A48CB" w14:textId="26757838" w:rsidR="00DB4AC8" w:rsidRPr="00B5667B" w:rsidRDefault="00DB4AC8" w:rsidP="00033A19">
      <w:pPr>
        <w:pStyle w:val="ListParagraph"/>
        <w:rPr>
          <w:b/>
          <w:bCs/>
        </w:rPr>
      </w:pPr>
      <w:r w:rsidRPr="00B5667B">
        <w:rPr>
          <w:b/>
          <w:bCs/>
        </w:rPr>
        <w:t>Potential Research Approach</w:t>
      </w:r>
    </w:p>
    <w:p w14:paraId="18A47C93" w14:textId="794BD32A" w:rsidR="00B50B75" w:rsidRPr="00B5667B" w:rsidRDefault="009D69C6" w:rsidP="00B50B75">
      <w:r>
        <w:t xml:space="preserve">The general approach to addressing the research </w:t>
      </w:r>
      <w:r w:rsidR="0062695E">
        <w:t>objective</w:t>
      </w:r>
      <w:r>
        <w:t xml:space="preserve"> </w:t>
      </w:r>
      <w:r w:rsidR="00ED43E0">
        <w:t xml:space="preserve">is to analyze the sources that have traditionally been used to determine </w:t>
      </w:r>
      <w:r w:rsidR="002F54A8">
        <w:t xml:space="preserve">sign placement </w:t>
      </w:r>
      <w:r w:rsidR="005573C3">
        <w:t xml:space="preserve">and calculate taper lengths </w:t>
      </w:r>
      <w:r w:rsidR="002F54A8">
        <w:t xml:space="preserve">and validate </w:t>
      </w:r>
      <w:proofErr w:type="gramStart"/>
      <w:r w:rsidR="002F54A8">
        <w:t>whether or not</w:t>
      </w:r>
      <w:proofErr w:type="gramEnd"/>
      <w:r w:rsidR="002F54A8">
        <w:t xml:space="preserve"> the practices are appropriate given </w:t>
      </w:r>
      <w:r w:rsidR="00823E04">
        <w:t xml:space="preserve">past research and knowledge </w:t>
      </w:r>
      <w:r w:rsidR="007B5717">
        <w:t xml:space="preserve">of </w:t>
      </w:r>
      <w:r w:rsidR="002F54A8">
        <w:t>human</w:t>
      </w:r>
      <w:r w:rsidR="00823E04">
        <w:t xml:space="preserve"> capabilities when navigating work zones. </w:t>
      </w:r>
      <w:r w:rsidR="002F54A8">
        <w:t xml:space="preserve"> </w:t>
      </w:r>
      <w:r w:rsidR="00DD7216" w:rsidRPr="001A44E7">
        <w:t xml:space="preserve">The </w:t>
      </w:r>
      <w:r w:rsidR="00974863" w:rsidRPr="001A44E7">
        <w:t>research team would gather information on the current state of practice</w:t>
      </w:r>
      <w:r w:rsidR="006F2959" w:rsidRPr="001A44E7">
        <w:t xml:space="preserve">, </w:t>
      </w:r>
      <w:r w:rsidR="00397AD3" w:rsidRPr="001A44E7">
        <w:t>how</w:t>
      </w:r>
      <w:r w:rsidR="00525EB3" w:rsidRPr="001A44E7">
        <w:t xml:space="preserve"> the </w:t>
      </w:r>
      <w:r w:rsidR="0016481A" w:rsidRPr="001A44E7">
        <w:t xml:space="preserve">current MUTCD recommendations </w:t>
      </w:r>
      <w:r w:rsidR="00397AD3" w:rsidRPr="001A44E7">
        <w:t>were developed</w:t>
      </w:r>
      <w:r w:rsidR="006F2959" w:rsidRPr="001A44E7">
        <w:t xml:space="preserve">, and what </w:t>
      </w:r>
      <w:proofErr w:type="gramStart"/>
      <w:r w:rsidR="006F2959" w:rsidRPr="001A44E7">
        <w:t>other</w:t>
      </w:r>
      <w:proofErr w:type="gramEnd"/>
      <w:r w:rsidR="006F2959" w:rsidRPr="001A44E7">
        <w:t xml:space="preserve"> relevant research has been conducted</w:t>
      </w:r>
      <w:r w:rsidR="00397AD3" w:rsidRPr="001A44E7">
        <w:t>.</w:t>
      </w:r>
      <w:r w:rsidR="0039117F" w:rsidRPr="001A44E7">
        <w:t xml:space="preserve"> </w:t>
      </w:r>
      <w:r w:rsidR="00A31D75" w:rsidRPr="001A44E7">
        <w:t xml:space="preserve">Utilizing </w:t>
      </w:r>
      <w:r w:rsidR="0039117F" w:rsidRPr="001A44E7">
        <w:t xml:space="preserve">the findings, the research team would develop a </w:t>
      </w:r>
      <w:r w:rsidR="005573C3">
        <w:t>method</w:t>
      </w:r>
      <w:r w:rsidR="005573C3" w:rsidRPr="001A44E7">
        <w:t xml:space="preserve"> </w:t>
      </w:r>
      <w:r w:rsidR="0039117F" w:rsidRPr="001A44E7">
        <w:t xml:space="preserve">for TTC </w:t>
      </w:r>
      <w:r w:rsidR="00A31D75" w:rsidRPr="001A44E7">
        <w:t>advance warning sign placement</w:t>
      </w:r>
      <w:r w:rsidR="005573C3">
        <w:t xml:space="preserve"> and calculating TTC taper lengths</w:t>
      </w:r>
      <w:r w:rsidR="00A31D75" w:rsidRPr="001A44E7">
        <w:t xml:space="preserve"> based on </w:t>
      </w:r>
      <w:r w:rsidR="006278C2" w:rsidRPr="001A44E7">
        <w:t>research and best practices.</w:t>
      </w:r>
    </w:p>
    <w:p w14:paraId="63B9A397" w14:textId="178341FA" w:rsidR="00DB4AC8" w:rsidRPr="00B5667B" w:rsidRDefault="00DB4AC8" w:rsidP="00BF7F49">
      <w:pPr>
        <w:pStyle w:val="ListParagraph"/>
        <w:spacing w:after="0"/>
        <w:rPr>
          <w:i/>
        </w:rPr>
      </w:pPr>
      <w:r w:rsidRPr="00B5667B">
        <w:rPr>
          <w:i/>
        </w:rPr>
        <w:t xml:space="preserve">Task 1 – </w:t>
      </w:r>
      <w:r w:rsidR="00685BA2" w:rsidRPr="00B5667B">
        <w:rPr>
          <w:i/>
        </w:rPr>
        <w:t xml:space="preserve">Kick-off Meeting and </w:t>
      </w:r>
      <w:r w:rsidR="00D7229D" w:rsidRPr="00B5667B">
        <w:rPr>
          <w:i/>
        </w:rPr>
        <w:t>P</w:t>
      </w:r>
      <w:r w:rsidR="00D7229D">
        <w:rPr>
          <w:i/>
        </w:rPr>
        <w:t>roject Management</w:t>
      </w:r>
    </w:p>
    <w:p w14:paraId="63C5D210" w14:textId="1A956183" w:rsidR="00DB4AC8" w:rsidRPr="00B5667B" w:rsidRDefault="00685BA2" w:rsidP="00033A19">
      <w:r w:rsidRPr="000655B0">
        <w:rPr>
          <w:rFonts w:cs="Times New Roman"/>
        </w:rPr>
        <w:t xml:space="preserve">Researchers </w:t>
      </w:r>
      <w:r w:rsidR="00BF7F49">
        <w:rPr>
          <w:rFonts w:cs="Times New Roman"/>
        </w:rPr>
        <w:t xml:space="preserve">will </w:t>
      </w:r>
      <w:r w:rsidRPr="000655B0">
        <w:rPr>
          <w:rFonts w:cs="Times New Roman"/>
        </w:rPr>
        <w:t xml:space="preserve">attend a kickoff meeting with the TCD PFS panel. </w:t>
      </w:r>
      <w:r w:rsidR="00DB4AC8" w:rsidRPr="000655B0">
        <w:t xml:space="preserve">The research team will work with the TCD PFS and other stakeholders to </w:t>
      </w:r>
      <w:r w:rsidR="00687173">
        <w:t xml:space="preserve">confirm that all parties have a shared understanding of the research scope and </w:t>
      </w:r>
      <w:r w:rsidR="00C93497">
        <w:t xml:space="preserve">to </w:t>
      </w:r>
      <w:r w:rsidR="00752ABA" w:rsidRPr="000655B0">
        <w:t xml:space="preserve">obtain input on </w:t>
      </w:r>
      <w:r w:rsidR="00C63CB4" w:rsidRPr="000655B0">
        <w:t>existing research information available</w:t>
      </w:r>
      <w:r w:rsidR="006646D4" w:rsidRPr="000655B0">
        <w:t>, potential</w:t>
      </w:r>
      <w:r w:rsidR="001A44E7">
        <w:t xml:space="preserve"> practitioner</w:t>
      </w:r>
      <w:r w:rsidR="006646D4" w:rsidRPr="000655B0">
        <w:t xml:space="preserve"> contacts to </w:t>
      </w:r>
      <w:r w:rsidR="001A44E7">
        <w:t>provide feedback</w:t>
      </w:r>
      <w:r w:rsidR="006646D4" w:rsidRPr="000655B0">
        <w:t xml:space="preserve"> or who may be able to provide historical context for the current MUTCD guidance</w:t>
      </w:r>
      <w:r w:rsidR="00DB4AC8" w:rsidRPr="000655B0">
        <w:t>.</w:t>
      </w:r>
      <w:r w:rsidR="00DB4AC8" w:rsidRPr="00B5667B">
        <w:t xml:space="preserve"> </w:t>
      </w:r>
    </w:p>
    <w:p w14:paraId="7CB512CD" w14:textId="5AC00230" w:rsidR="004B5D8D" w:rsidRDefault="00F23686" w:rsidP="00033A19">
      <w:pPr>
        <w:pStyle w:val="ListParagraph"/>
        <w:rPr>
          <w:i/>
        </w:rPr>
      </w:pPr>
      <w:r w:rsidRPr="00B5667B">
        <w:rPr>
          <w:i/>
        </w:rPr>
        <w:t xml:space="preserve">Task 2 – </w:t>
      </w:r>
      <w:r w:rsidR="004B5D8D">
        <w:rPr>
          <w:i/>
        </w:rPr>
        <w:t>Literature Review</w:t>
      </w:r>
      <w:r w:rsidR="00CF1B90">
        <w:rPr>
          <w:i/>
        </w:rPr>
        <w:t xml:space="preserve"> and State of Practice</w:t>
      </w:r>
    </w:p>
    <w:p w14:paraId="29E0DA8A" w14:textId="07954F73" w:rsidR="004B5D8D" w:rsidRDefault="004B5D8D" w:rsidP="00033A19">
      <w:pPr>
        <w:pStyle w:val="ListParagraph"/>
        <w:rPr>
          <w:iCs/>
        </w:rPr>
      </w:pPr>
      <w:r w:rsidRPr="006A6374">
        <w:rPr>
          <w:iCs/>
        </w:rPr>
        <w:t xml:space="preserve">The research team will review and synthesize literature regarding research that has been performed on </w:t>
      </w:r>
      <w:r w:rsidR="001A44E7" w:rsidRPr="006A6374">
        <w:rPr>
          <w:iCs/>
        </w:rPr>
        <w:t xml:space="preserve">sign placement </w:t>
      </w:r>
      <w:r w:rsidR="00C93497">
        <w:rPr>
          <w:iCs/>
        </w:rPr>
        <w:t xml:space="preserve">and taper lengths </w:t>
      </w:r>
      <w:r w:rsidR="001A44E7" w:rsidRPr="006A6374">
        <w:rPr>
          <w:iCs/>
        </w:rPr>
        <w:t>in work zones</w:t>
      </w:r>
      <w:r w:rsidRPr="006A6374">
        <w:rPr>
          <w:iCs/>
        </w:rPr>
        <w:t xml:space="preserve">. Additionally, current practices and </w:t>
      </w:r>
      <w:r w:rsidR="00355367" w:rsidRPr="006A6374">
        <w:rPr>
          <w:iCs/>
        </w:rPr>
        <w:t xml:space="preserve">MUTCD </w:t>
      </w:r>
      <w:r w:rsidR="007F58F2">
        <w:rPr>
          <w:iCs/>
        </w:rPr>
        <w:t>text</w:t>
      </w:r>
      <w:r w:rsidR="00865838" w:rsidRPr="006A6374">
        <w:rPr>
          <w:iCs/>
        </w:rPr>
        <w:t xml:space="preserve"> </w:t>
      </w:r>
      <w:r w:rsidRPr="006A6374">
        <w:rPr>
          <w:iCs/>
        </w:rPr>
        <w:t>will be summarized</w:t>
      </w:r>
      <w:r w:rsidR="00865838" w:rsidRPr="006A6374">
        <w:rPr>
          <w:iCs/>
        </w:rPr>
        <w:t xml:space="preserve"> along with any information that can be gathered </w:t>
      </w:r>
      <w:r w:rsidR="006A6374" w:rsidRPr="006A6374">
        <w:rPr>
          <w:iCs/>
        </w:rPr>
        <w:t>on the sources that led to the current MUTCD language</w:t>
      </w:r>
      <w:r w:rsidRPr="006A6374">
        <w:rPr>
          <w:iCs/>
        </w:rPr>
        <w:t>.</w:t>
      </w:r>
      <w:r>
        <w:rPr>
          <w:iCs/>
        </w:rPr>
        <w:t xml:space="preserve"> </w:t>
      </w:r>
      <w:r w:rsidR="003B72A0">
        <w:rPr>
          <w:iCs/>
        </w:rPr>
        <w:t>As part of gathering information about current practices, the research team will obtain feedback</w:t>
      </w:r>
      <w:r w:rsidR="00026B9D">
        <w:rPr>
          <w:iCs/>
        </w:rPr>
        <w:t xml:space="preserve"> </w:t>
      </w:r>
      <w:r w:rsidR="003B72A0">
        <w:rPr>
          <w:iCs/>
        </w:rPr>
        <w:t xml:space="preserve">from practitioners </w:t>
      </w:r>
      <w:r w:rsidR="00026B9D">
        <w:rPr>
          <w:iCs/>
        </w:rPr>
        <w:t xml:space="preserve">via e-mail and/or casual phone calls </w:t>
      </w:r>
      <w:r w:rsidR="003B72A0">
        <w:rPr>
          <w:iCs/>
        </w:rPr>
        <w:t>about their procedures, challenges they encounter, and any changes they feel should be implemented.</w:t>
      </w:r>
    </w:p>
    <w:p w14:paraId="73A9DC90" w14:textId="77777777" w:rsidR="004B5D8D" w:rsidRDefault="004B5D8D" w:rsidP="00033A19">
      <w:pPr>
        <w:pStyle w:val="ListParagraph"/>
        <w:rPr>
          <w:i/>
        </w:rPr>
      </w:pPr>
    </w:p>
    <w:p w14:paraId="2AEF6507" w14:textId="4D47998B" w:rsidR="00F23686" w:rsidRPr="00B5667B" w:rsidRDefault="004B5D8D" w:rsidP="00033A19">
      <w:pPr>
        <w:pStyle w:val="ListParagraph"/>
        <w:rPr>
          <w:i/>
        </w:rPr>
      </w:pPr>
      <w:r>
        <w:rPr>
          <w:i/>
        </w:rPr>
        <w:lastRenderedPageBreak/>
        <w:t xml:space="preserve">Task 3 – </w:t>
      </w:r>
      <w:r w:rsidR="001B08BD">
        <w:rPr>
          <w:i/>
        </w:rPr>
        <w:t>Development of TTC Advance Warning Sign Placement</w:t>
      </w:r>
      <w:r w:rsidR="00C93497">
        <w:rPr>
          <w:i/>
        </w:rPr>
        <w:t xml:space="preserve"> and Taper Length</w:t>
      </w:r>
      <w:r w:rsidR="001B08BD">
        <w:rPr>
          <w:i/>
        </w:rPr>
        <w:t xml:space="preserve"> </w:t>
      </w:r>
      <w:r w:rsidR="009622D8">
        <w:rPr>
          <w:i/>
        </w:rPr>
        <w:t>Method</w:t>
      </w:r>
    </w:p>
    <w:p w14:paraId="5CFCD688" w14:textId="6F743A1C" w:rsidR="00F23686" w:rsidRPr="00B5667B" w:rsidRDefault="00F23686" w:rsidP="00033A19">
      <w:pPr>
        <w:pStyle w:val="ListParagraph"/>
        <w:rPr>
          <w:i/>
        </w:rPr>
      </w:pPr>
      <w:r w:rsidRPr="005A6EC7">
        <w:rPr>
          <w:rFonts w:cs="Times New Roman"/>
        </w:rPr>
        <w:t xml:space="preserve">The research team will </w:t>
      </w:r>
      <w:r w:rsidR="005A6EC7" w:rsidRPr="005A6EC7">
        <w:rPr>
          <w:rFonts w:cs="Times New Roman"/>
        </w:rPr>
        <w:t>compare and analyze the current practices and research from Task 2</w:t>
      </w:r>
      <w:r w:rsidRPr="005A6EC7">
        <w:rPr>
          <w:rFonts w:cs="Times New Roman"/>
        </w:rPr>
        <w:t>.</w:t>
      </w:r>
      <w:r w:rsidRPr="005A6EC7">
        <w:t xml:space="preserve"> </w:t>
      </w:r>
      <w:r w:rsidRPr="005A6EC7">
        <w:rPr>
          <w:rFonts w:cs="Times New Roman"/>
        </w:rPr>
        <w:t xml:space="preserve">Based on </w:t>
      </w:r>
      <w:r w:rsidR="005A6EC7" w:rsidRPr="005A6EC7">
        <w:rPr>
          <w:rFonts w:cs="Times New Roman"/>
        </w:rPr>
        <w:t xml:space="preserve">the </w:t>
      </w:r>
      <w:r w:rsidR="006D1973" w:rsidRPr="005A6EC7">
        <w:rPr>
          <w:rFonts w:cs="Times New Roman"/>
        </w:rPr>
        <w:t>findings</w:t>
      </w:r>
      <w:r w:rsidRPr="005A6EC7">
        <w:rPr>
          <w:rFonts w:cs="Times New Roman"/>
        </w:rPr>
        <w:t xml:space="preserve">, the research team will develop and submit a </w:t>
      </w:r>
      <w:r w:rsidR="009622D8">
        <w:rPr>
          <w:rFonts w:cs="Times New Roman"/>
        </w:rPr>
        <w:t>method</w:t>
      </w:r>
      <w:r w:rsidR="009622D8" w:rsidRPr="005A6EC7">
        <w:rPr>
          <w:rFonts w:cs="Times New Roman"/>
        </w:rPr>
        <w:t xml:space="preserve"> </w:t>
      </w:r>
      <w:r w:rsidR="005A6EC7" w:rsidRPr="005A6EC7">
        <w:rPr>
          <w:rFonts w:cs="Times New Roman"/>
        </w:rPr>
        <w:t>for determining TTC advance warning sign placement and spacing</w:t>
      </w:r>
      <w:r w:rsidR="00C93497">
        <w:rPr>
          <w:rFonts w:cs="Times New Roman"/>
        </w:rPr>
        <w:t xml:space="preserve"> and taper lengths</w:t>
      </w:r>
      <w:r w:rsidRPr="005A6EC7">
        <w:rPr>
          <w:rFonts w:cs="Times New Roman"/>
        </w:rPr>
        <w:t>.</w:t>
      </w:r>
    </w:p>
    <w:p w14:paraId="22BC3118" w14:textId="77777777" w:rsidR="00F23686" w:rsidRDefault="00F23686" w:rsidP="00033A19">
      <w:pPr>
        <w:pStyle w:val="ListParagraph"/>
        <w:rPr>
          <w:i/>
        </w:rPr>
      </w:pPr>
    </w:p>
    <w:p w14:paraId="15CABFB8" w14:textId="608B4671" w:rsidR="0047749D" w:rsidRPr="00B5667B" w:rsidRDefault="0047749D" w:rsidP="0047749D">
      <w:pPr>
        <w:pStyle w:val="ListParagraph"/>
        <w:rPr>
          <w:i/>
        </w:rPr>
      </w:pPr>
      <w:r>
        <w:rPr>
          <w:i/>
        </w:rPr>
        <w:t>Task 4 – Expert Panel Workshop to Review TTC Advance Warning Sign Placement</w:t>
      </w:r>
      <w:r w:rsidR="00C93497">
        <w:rPr>
          <w:i/>
        </w:rPr>
        <w:t xml:space="preserve"> and Taper Length</w:t>
      </w:r>
      <w:r>
        <w:rPr>
          <w:i/>
        </w:rPr>
        <w:t xml:space="preserve"> </w:t>
      </w:r>
      <w:r w:rsidR="00026B9D">
        <w:rPr>
          <w:i/>
        </w:rPr>
        <w:t>Method</w:t>
      </w:r>
    </w:p>
    <w:p w14:paraId="21996BD6" w14:textId="685E201D" w:rsidR="0047749D" w:rsidRPr="00D31222" w:rsidRDefault="007B4CC3" w:rsidP="00033A19">
      <w:pPr>
        <w:pStyle w:val="ListParagraph"/>
        <w:rPr>
          <w:iCs/>
        </w:rPr>
      </w:pPr>
      <w:r>
        <w:rPr>
          <w:iCs/>
        </w:rPr>
        <w:t>The research team will assemble an expert panel with members of the TCD PFS who have TTC work experience as well as other TTC practitioners and experts such as members of the ATSSA sign committee</w:t>
      </w:r>
      <w:r w:rsidR="00026B9D">
        <w:rPr>
          <w:iCs/>
        </w:rPr>
        <w:t xml:space="preserve"> and/or ATSSA TTC committee</w:t>
      </w:r>
      <w:r>
        <w:rPr>
          <w:iCs/>
        </w:rPr>
        <w:t xml:space="preserve"> </w:t>
      </w:r>
      <w:r w:rsidR="000A1AB0">
        <w:rPr>
          <w:iCs/>
        </w:rPr>
        <w:t xml:space="preserve">and the NCUTCD TTC Technical Committee </w:t>
      </w:r>
      <w:r w:rsidR="00026B9D">
        <w:rPr>
          <w:iCs/>
        </w:rPr>
        <w:t>(</w:t>
      </w:r>
      <w:r w:rsidR="000A1AB0">
        <w:rPr>
          <w:iCs/>
        </w:rPr>
        <w:t>Chapters 6A and 6B Task Force</w:t>
      </w:r>
      <w:r w:rsidR="00026B9D">
        <w:rPr>
          <w:iCs/>
        </w:rPr>
        <w:t xml:space="preserve"> and Typical Applications Task Force)</w:t>
      </w:r>
      <w:r w:rsidR="000A1AB0">
        <w:rPr>
          <w:iCs/>
        </w:rPr>
        <w:t xml:space="preserve">. </w:t>
      </w:r>
      <w:r w:rsidR="00DC3C8A">
        <w:rPr>
          <w:iCs/>
        </w:rPr>
        <w:t xml:space="preserve">The </w:t>
      </w:r>
      <w:r w:rsidR="009622D8">
        <w:rPr>
          <w:iCs/>
        </w:rPr>
        <w:t xml:space="preserve">method </w:t>
      </w:r>
      <w:r w:rsidR="00DC3C8A">
        <w:rPr>
          <w:iCs/>
        </w:rPr>
        <w:t xml:space="preserve">from Task 3 will be provided to the expert panel for review and then a virtual workshop will be conducted to obtain feedback on the </w:t>
      </w:r>
      <w:r w:rsidR="00393DAF">
        <w:rPr>
          <w:iCs/>
        </w:rPr>
        <w:t xml:space="preserve">sign placement </w:t>
      </w:r>
      <w:r w:rsidR="00C93497">
        <w:rPr>
          <w:iCs/>
        </w:rPr>
        <w:t xml:space="preserve">and taper length </w:t>
      </w:r>
      <w:r w:rsidR="00026B9D">
        <w:rPr>
          <w:iCs/>
        </w:rPr>
        <w:t>method</w:t>
      </w:r>
      <w:r w:rsidR="00393DAF">
        <w:rPr>
          <w:iCs/>
        </w:rPr>
        <w:t xml:space="preserve">. </w:t>
      </w:r>
    </w:p>
    <w:p w14:paraId="0BE2626A" w14:textId="77777777" w:rsidR="00D31222" w:rsidRPr="00B5667B" w:rsidRDefault="00D31222" w:rsidP="00033A19">
      <w:pPr>
        <w:pStyle w:val="ListParagraph"/>
        <w:rPr>
          <w:i/>
        </w:rPr>
      </w:pPr>
    </w:p>
    <w:p w14:paraId="6700455A" w14:textId="1CD3BF9E" w:rsidR="00DB4AC8" w:rsidRPr="00B5667B" w:rsidRDefault="00DB4AC8" w:rsidP="00BF7F49">
      <w:pPr>
        <w:pStyle w:val="ListParagraph"/>
        <w:spacing w:after="0"/>
        <w:rPr>
          <w:i/>
        </w:rPr>
      </w:pPr>
      <w:r w:rsidRPr="00B5667B">
        <w:rPr>
          <w:i/>
        </w:rPr>
        <w:t xml:space="preserve">Task </w:t>
      </w:r>
      <w:r w:rsidR="003143BF">
        <w:rPr>
          <w:i/>
        </w:rPr>
        <w:t>5</w:t>
      </w:r>
      <w:r w:rsidRPr="00B5667B">
        <w:rPr>
          <w:i/>
        </w:rPr>
        <w:t xml:space="preserve"> – Final Report</w:t>
      </w:r>
      <w:r w:rsidR="002C6939" w:rsidRPr="00B5667B">
        <w:rPr>
          <w:i/>
        </w:rPr>
        <w:t xml:space="preserve"> and Presentation</w:t>
      </w:r>
    </w:p>
    <w:p w14:paraId="10717DCB" w14:textId="65B0C3CC" w:rsidR="00DB4AC8" w:rsidRPr="00B5667B" w:rsidRDefault="00274627" w:rsidP="00033A19">
      <w:r w:rsidRPr="00BC5E54">
        <w:t xml:space="preserve">The research team will revise the TTC advance warning sign placement </w:t>
      </w:r>
      <w:r w:rsidR="00026B9D">
        <w:t>method</w:t>
      </w:r>
      <w:r w:rsidR="00026B9D" w:rsidRPr="00BC5E54">
        <w:t xml:space="preserve"> </w:t>
      </w:r>
      <w:r w:rsidRPr="00BC5E54">
        <w:t xml:space="preserve">per comments received at the expert panel workshop. </w:t>
      </w:r>
      <w:r w:rsidR="00DB4AC8" w:rsidRPr="00BC5E54">
        <w:t xml:space="preserve">The research team will </w:t>
      </w:r>
      <w:r w:rsidRPr="00BC5E54">
        <w:t xml:space="preserve">then </w:t>
      </w:r>
      <w:r w:rsidR="00DB4AC8" w:rsidRPr="00BC5E54">
        <w:t xml:space="preserve">develop a final report that includes the </w:t>
      </w:r>
      <w:r w:rsidR="00393DAF" w:rsidRPr="00BC5E54">
        <w:t xml:space="preserve">state of practice and literature review, the revised TTC advance warning sign placement </w:t>
      </w:r>
      <w:r w:rsidR="00026B9D">
        <w:t>method</w:t>
      </w:r>
      <w:r w:rsidR="00BC5E54" w:rsidRPr="00BC5E54">
        <w:t>, and a summary of the justification for the methodology.</w:t>
      </w:r>
      <w:r w:rsidR="00BC5E54">
        <w:t xml:space="preserve"> </w:t>
      </w:r>
    </w:p>
    <w:p w14:paraId="6BD190E0" w14:textId="1E56E209" w:rsidR="00DB4AC8" w:rsidRPr="00B5667B" w:rsidRDefault="00DB4AC8" w:rsidP="00033A19">
      <w:pPr>
        <w:pStyle w:val="ListParagraph"/>
        <w:rPr>
          <w:b/>
          <w:bCs/>
        </w:rPr>
      </w:pPr>
      <w:r w:rsidRPr="00B5667B">
        <w:rPr>
          <w:b/>
          <w:bCs/>
        </w:rPr>
        <w:t>Chance of Successful Evaluation</w:t>
      </w:r>
    </w:p>
    <w:p w14:paraId="15B0E410" w14:textId="3916298B" w:rsidR="00342F53" w:rsidRDefault="00275BC4" w:rsidP="003E6E1E">
      <w:r>
        <w:t xml:space="preserve">Medium </w:t>
      </w:r>
      <w:r w:rsidR="00C31CEF">
        <w:t xml:space="preserve">to </w:t>
      </w:r>
      <w:r w:rsidR="00342F53">
        <w:t>High</w:t>
      </w:r>
    </w:p>
    <w:p w14:paraId="61AFDDD4" w14:textId="1D8A9E03" w:rsidR="00DB4AC8" w:rsidRDefault="00DE5DEA" w:rsidP="003E6E1E">
      <w:r>
        <w:t>An effective</w:t>
      </w:r>
      <w:r w:rsidR="00274197">
        <w:t xml:space="preserve"> field study that incorporates </w:t>
      </w:r>
      <w:r>
        <w:t>the findings</w:t>
      </w:r>
      <w:r w:rsidR="00023ED9">
        <w:t xml:space="preserve"> would be </w:t>
      </w:r>
      <w:r w:rsidR="00C43D25">
        <w:t xml:space="preserve">extremely </w:t>
      </w:r>
      <w:r w:rsidR="00023ED9">
        <w:t xml:space="preserve">difficult to implement given the </w:t>
      </w:r>
      <w:r w:rsidR="003577A7">
        <w:t>numerous factors that are present in work zones</w:t>
      </w:r>
      <w:r w:rsidR="00F22561">
        <w:t xml:space="preserve"> as well as the </w:t>
      </w:r>
      <w:r w:rsidR="00290643">
        <w:t>difficulty to determine if any effects were from sign placement</w:t>
      </w:r>
      <w:r w:rsidR="005573C3">
        <w:t>, taper length,</w:t>
      </w:r>
      <w:r w:rsidR="00290643">
        <w:t xml:space="preserve"> or an external variable</w:t>
      </w:r>
      <w:r>
        <w:t>.  However, the development of</w:t>
      </w:r>
      <w:r w:rsidR="00FE41EB">
        <w:t xml:space="preserve"> </w:t>
      </w:r>
      <w:r w:rsidR="00AA1B05">
        <w:t xml:space="preserve">recommendations based on the existing body of knowledge would be </w:t>
      </w:r>
      <w:r w:rsidR="00582664">
        <w:t xml:space="preserve">beneficial to document the basis of </w:t>
      </w:r>
      <w:r w:rsidR="005573C3">
        <w:t xml:space="preserve">taper lengths and </w:t>
      </w:r>
      <w:r w:rsidR="009E05C6">
        <w:t xml:space="preserve">the </w:t>
      </w:r>
      <w:r w:rsidR="00006F55">
        <w:t xml:space="preserve">distances used to place warning signs.  </w:t>
      </w:r>
    </w:p>
    <w:p w14:paraId="4BD222DE" w14:textId="26382CF6" w:rsidR="005A3037" w:rsidRDefault="000109CE" w:rsidP="00033A19">
      <w:pPr>
        <w:spacing w:after="0" w:line="240" w:lineRule="auto"/>
        <w:contextualSpacing/>
        <w:rPr>
          <w:rFonts w:cs="Times New Roman"/>
          <w:b/>
        </w:rPr>
      </w:pPr>
      <w:r w:rsidRPr="478E6156">
        <w:rPr>
          <w:rFonts w:cs="Times New Roman"/>
          <w:b/>
          <w:bCs/>
        </w:rPr>
        <w:t>References</w:t>
      </w:r>
    </w:p>
    <w:bookmarkEnd w:id="0"/>
    <w:p w14:paraId="3CCE8306" w14:textId="04037792" w:rsidR="001005FA" w:rsidRPr="00033A19" w:rsidRDefault="007C046A" w:rsidP="478E6156">
      <w:pPr>
        <w:pStyle w:val="EndNoteBibliography"/>
        <w:ind w:left="720" w:hanging="720"/>
        <w:rPr>
          <w:rFonts w:eastAsia="Times New Roman"/>
        </w:rPr>
      </w:pPr>
      <w:r>
        <w:t xml:space="preserve"> </w:t>
      </w:r>
    </w:p>
    <w:p w14:paraId="395A12E1" w14:textId="60A527AB" w:rsidR="51740460" w:rsidRDefault="0288F2FE" w:rsidP="478E6156">
      <w:pPr>
        <w:pStyle w:val="ListParagraph"/>
        <w:numPr>
          <w:ilvl w:val="0"/>
          <w:numId w:val="9"/>
        </w:numPr>
        <w:rPr>
          <w:noProof/>
        </w:rPr>
      </w:pPr>
      <w:r w:rsidRPr="4E67A22D">
        <w:rPr>
          <w:noProof/>
        </w:rPr>
        <w:t>FHWA.</w:t>
      </w:r>
      <w:r w:rsidR="373F951A" w:rsidRPr="4E67A22D">
        <w:rPr>
          <w:i/>
          <w:iCs/>
          <w:noProof/>
        </w:rPr>
        <w:t xml:space="preserve"> National Standards for Traffic Control Devices; the Manual on Uniform Traffic Control Devices for Streets and Highways; Revision.</w:t>
      </w:r>
      <w:r w:rsidR="00BE87CF" w:rsidRPr="4E67A22D">
        <w:rPr>
          <w:noProof/>
        </w:rPr>
        <w:t xml:space="preserve"> https://www.regulations.gov/docket/FHWA-2020-0001/document</w:t>
      </w:r>
    </w:p>
    <w:p w14:paraId="7B6EF3B5" w14:textId="2646DE5B" w:rsidR="4D4725E3" w:rsidRDefault="4D4725E3" w:rsidP="478E6156">
      <w:pPr>
        <w:pStyle w:val="ListParagraph"/>
        <w:numPr>
          <w:ilvl w:val="0"/>
          <w:numId w:val="9"/>
        </w:numPr>
        <w:rPr>
          <w:noProof/>
        </w:rPr>
      </w:pPr>
      <w:r w:rsidRPr="4E67A22D">
        <w:rPr>
          <w:noProof/>
        </w:rPr>
        <w:t xml:space="preserve">Wisconson DOT. (2009, December). PART 6. TEMPORARY TRAFFIC CONTROL. </w:t>
      </w:r>
      <w:hyperlink r:id="rId24">
        <w:r w:rsidRPr="4E67A22D">
          <w:rPr>
            <w:rStyle w:val="Hyperlink"/>
            <w:noProof/>
          </w:rPr>
          <w:t>https://wisconsindot.gov/dtsdManuals/traffic-ops/manuals-and-standards/wmutcd/mutcd-ch06.pdf</w:t>
        </w:r>
      </w:hyperlink>
    </w:p>
    <w:p w14:paraId="4E02EC36" w14:textId="428C69BD" w:rsidR="0E9E3E9B" w:rsidRDefault="0E9E3E9B" w:rsidP="478E6156">
      <w:pPr>
        <w:pStyle w:val="ListParagraph"/>
        <w:numPr>
          <w:ilvl w:val="0"/>
          <w:numId w:val="9"/>
        </w:numPr>
        <w:rPr>
          <w:noProof/>
        </w:rPr>
      </w:pPr>
      <w:r w:rsidRPr="4E67A22D">
        <w:rPr>
          <w:noProof/>
        </w:rPr>
        <w:t xml:space="preserve">SCDOT. (2011, May). </w:t>
      </w:r>
      <w:r w:rsidRPr="4E67A22D">
        <w:rPr>
          <w:i/>
          <w:iCs/>
          <w:noProof/>
        </w:rPr>
        <w:t>South Carolina Department of Transportation</w:t>
      </w:r>
      <w:r w:rsidRPr="4E67A22D">
        <w:rPr>
          <w:noProof/>
        </w:rPr>
        <w:t xml:space="preserve">. Traffic Engineering MUTCD Supplement. </w:t>
      </w:r>
      <w:hyperlink r:id="rId25">
        <w:r w:rsidRPr="4E67A22D">
          <w:rPr>
            <w:rStyle w:val="Hyperlink"/>
            <w:noProof/>
          </w:rPr>
          <w:t>https://www.scdot.org/business/pdf/accessMgt/trafficEngineering/supplement_mutcd.pdf</w:t>
        </w:r>
      </w:hyperlink>
    </w:p>
    <w:p w14:paraId="5F88F5B8" w14:textId="192EE6B8" w:rsidR="1EF33FB6" w:rsidRDefault="1EF33FB6" w:rsidP="478E6156">
      <w:pPr>
        <w:pStyle w:val="ListParagraph"/>
        <w:numPr>
          <w:ilvl w:val="0"/>
          <w:numId w:val="9"/>
        </w:numPr>
        <w:rPr>
          <w:noProof/>
        </w:rPr>
      </w:pPr>
      <w:r w:rsidRPr="4E67A22D">
        <w:rPr>
          <w:noProof/>
        </w:rPr>
        <w:t>MDOT, Part 6 - Temporary Traffic Control - Manual on Uniform Traffic Control Devices (2009).</w:t>
      </w:r>
      <w:r w:rsidR="0C7C7F19" w:rsidRPr="4E67A22D">
        <w:rPr>
          <w:noProof/>
        </w:rPr>
        <w:t xml:space="preserve"> </w:t>
      </w:r>
      <w:hyperlink r:id="rId26">
        <w:r w:rsidR="0C7C7F19" w:rsidRPr="4E67A22D">
          <w:rPr>
            <w:rStyle w:val="Hyperlink"/>
            <w:rFonts w:eastAsia="Times New Roman" w:cs="Times New Roman"/>
            <w:noProof/>
          </w:rPr>
          <w:t>https://mdotjboss.state.mi.us/TSSD/getTSDocument.htm?docGuid=dbc08581-5f19-4bd5-8d57-69abc3598d6d&amp;fileName=mmutcdpart6_2017.pdf</w:t>
        </w:r>
      </w:hyperlink>
    </w:p>
    <w:p w14:paraId="0D2FD9C1" w14:textId="17E5D1D8" w:rsidR="034D21D0" w:rsidRDefault="034D21D0" w:rsidP="0D14F9BF">
      <w:pPr>
        <w:pStyle w:val="ListParagraph"/>
        <w:numPr>
          <w:ilvl w:val="0"/>
          <w:numId w:val="9"/>
        </w:numPr>
        <w:rPr>
          <w:rFonts w:eastAsia="Calibri"/>
          <w:noProof/>
        </w:rPr>
      </w:pPr>
      <w:r w:rsidRPr="4E67A22D">
        <w:rPr>
          <w:noProof/>
        </w:rPr>
        <w:t xml:space="preserve">DE MUTCD, Chapter 6A. General (2018). </w:t>
      </w:r>
      <w:hyperlink r:id="rId27">
        <w:r w:rsidR="0C5BB4B7" w:rsidRPr="4E67A22D">
          <w:rPr>
            <w:rStyle w:val="Hyperlink"/>
            <w:noProof/>
          </w:rPr>
          <w:t>https://regulations.delaware.gov/register/may2018/final/MUTCDPart6TemporaryTrafficControl.pdf?cache=1698161203466</w:t>
        </w:r>
      </w:hyperlink>
    </w:p>
    <w:p w14:paraId="1640C6B9" w14:textId="62E31D6E" w:rsidR="2146C016" w:rsidRDefault="2146C016" w:rsidP="478E6156">
      <w:pPr>
        <w:pStyle w:val="ListParagraph"/>
        <w:numPr>
          <w:ilvl w:val="0"/>
          <w:numId w:val="9"/>
        </w:numPr>
        <w:rPr>
          <w:noProof/>
        </w:rPr>
      </w:pPr>
      <w:r w:rsidRPr="4E67A22D">
        <w:rPr>
          <w:noProof/>
        </w:rPr>
        <w:lastRenderedPageBreak/>
        <w:t xml:space="preserve">Hang, J. (2018, August 11). </w:t>
      </w:r>
      <w:r w:rsidRPr="4E67A22D">
        <w:rPr>
          <w:i/>
          <w:iCs/>
          <w:noProof/>
        </w:rPr>
        <w:t>Exploring the effects of the location of the Lane-end sign and traffic volume on Multistage Lane-changing behaviors in work zone areas: A driving simulator-based study</w:t>
      </w:r>
      <w:r w:rsidRPr="4E67A22D">
        <w:rPr>
          <w:noProof/>
        </w:rPr>
        <w:t xml:space="preserve">. Transportation Research Part F: Traffic Psychology and Behaviour. </w:t>
      </w:r>
      <w:hyperlink r:id="rId28">
        <w:r w:rsidRPr="4E67A22D">
          <w:rPr>
            <w:rStyle w:val="Hyperlink"/>
            <w:noProof/>
          </w:rPr>
          <w:t>https://www.sciencedirect.com/science/article/abs/pii/S1369847818303954</w:t>
        </w:r>
      </w:hyperlink>
    </w:p>
    <w:p w14:paraId="7E1A2AC0" w14:textId="39E42564" w:rsidR="79A57E2F" w:rsidRDefault="79A57E2F" w:rsidP="478E6156">
      <w:pPr>
        <w:pStyle w:val="ListParagraph"/>
        <w:numPr>
          <w:ilvl w:val="0"/>
          <w:numId w:val="9"/>
        </w:numPr>
        <w:rPr>
          <w:noProof/>
        </w:rPr>
      </w:pPr>
      <w:r w:rsidRPr="4E67A22D">
        <w:rPr>
          <w:noProof/>
        </w:rPr>
        <w:t xml:space="preserve">Li, Y., &amp; Bai, Y. (2011, November 30). </w:t>
      </w:r>
      <w:r w:rsidRPr="4E67A22D">
        <w:rPr>
          <w:i/>
          <w:iCs/>
          <w:noProof/>
        </w:rPr>
        <w:t>Determining optimal deployment location of portable changeable message sign upstream of work zones</w:t>
      </w:r>
      <w:r w:rsidRPr="4E67A22D">
        <w:rPr>
          <w:noProof/>
        </w:rPr>
        <w:t xml:space="preserve">. TRID. </w:t>
      </w:r>
      <w:hyperlink r:id="rId29">
        <w:r w:rsidRPr="4E67A22D">
          <w:rPr>
            <w:rStyle w:val="Hyperlink"/>
            <w:noProof/>
          </w:rPr>
          <w:t>https://trid.trb.org/View/1128907</w:t>
        </w:r>
      </w:hyperlink>
    </w:p>
    <w:p w14:paraId="0A419505" w14:textId="031DDEC4" w:rsidR="0C5053CD" w:rsidRPr="00CE3A48" w:rsidRDefault="0C5053CD" w:rsidP="478E6156">
      <w:pPr>
        <w:pStyle w:val="ListParagraph"/>
        <w:numPr>
          <w:ilvl w:val="0"/>
          <w:numId w:val="9"/>
        </w:numPr>
        <w:rPr>
          <w:rFonts w:eastAsia="Calibri"/>
          <w:noProof/>
        </w:rPr>
      </w:pPr>
      <w:r w:rsidRPr="4E67A22D">
        <w:rPr>
          <w:noProof/>
        </w:rPr>
        <w:t xml:space="preserve">Theiss, L., Higgins, L., &amp; Ullman, G. L. (2021). (rep.). </w:t>
      </w:r>
      <w:r w:rsidRPr="4E67A22D">
        <w:rPr>
          <w:i/>
          <w:iCs/>
          <w:noProof/>
        </w:rPr>
        <w:t>Studies to improve Temporary Guide Signs in Work Zones</w:t>
      </w:r>
      <w:r w:rsidRPr="4E67A22D">
        <w:rPr>
          <w:noProof/>
        </w:rPr>
        <w:t>. College Station, Texas: TEXAS A&amp;M TRANSPORTATION INSTITUTE.</w:t>
      </w:r>
      <w:r w:rsidR="5FCC4F41" w:rsidRPr="4E67A22D">
        <w:rPr>
          <w:noProof/>
        </w:rPr>
        <w:t xml:space="preserve"> </w:t>
      </w:r>
      <w:hyperlink r:id="rId30">
        <w:r w:rsidR="5FCC4F41" w:rsidRPr="4E67A22D">
          <w:rPr>
            <w:rStyle w:val="Hyperlink"/>
            <w:noProof/>
          </w:rPr>
          <w:t>https://static.tti.tamu.edu/tti.tamu.edu/documents/0-7046-R1.pdf</w:t>
        </w:r>
      </w:hyperlink>
      <w:r w:rsidR="5FCC4F41" w:rsidRPr="4E67A22D">
        <w:rPr>
          <w:noProof/>
        </w:rPr>
        <w:t xml:space="preserve"> </w:t>
      </w:r>
    </w:p>
    <w:p w14:paraId="2CDC3F55" w14:textId="3FD076F4" w:rsidR="3FF22EFD" w:rsidRDefault="3FF22EFD" w:rsidP="0D14F9BF">
      <w:pPr>
        <w:pStyle w:val="ListParagraph"/>
        <w:numPr>
          <w:ilvl w:val="0"/>
          <w:numId w:val="9"/>
        </w:numPr>
        <w:rPr>
          <w:rFonts w:eastAsia="Calibri"/>
          <w:noProof/>
        </w:rPr>
      </w:pPr>
      <w:r w:rsidRPr="4E67A22D">
        <w:rPr>
          <w:noProof/>
        </w:rPr>
        <w:t xml:space="preserve"> </w:t>
      </w:r>
      <w:r w:rsidR="008B0A5C" w:rsidRPr="4E67A22D">
        <w:rPr>
          <w:noProof/>
        </w:rPr>
        <w:t>NCUTCD</w:t>
      </w:r>
      <w:r w:rsidR="00687173" w:rsidRPr="4E67A22D">
        <w:rPr>
          <w:noProof/>
        </w:rPr>
        <w:t xml:space="preserve">. (2012, June). </w:t>
      </w:r>
      <w:r w:rsidR="00687173" w:rsidRPr="4E67A22D">
        <w:rPr>
          <w:i/>
          <w:iCs/>
          <w:noProof/>
        </w:rPr>
        <w:t>Advance Traffic Control Signs</w:t>
      </w:r>
      <w:r w:rsidR="00687173" w:rsidRPr="4E67A22D">
        <w:rPr>
          <w:noProof/>
        </w:rPr>
        <w:t xml:space="preserve">. RW Signs No. 3. </w:t>
      </w:r>
    </w:p>
    <w:p w14:paraId="0C1E92CE" w14:textId="23D1CEBB" w:rsidR="198CA632" w:rsidRPr="00CE3A48" w:rsidRDefault="5B1B5DCA" w:rsidP="00CE3A48">
      <w:pPr>
        <w:ind w:left="864" w:hanging="432"/>
        <w:rPr>
          <w:noProof/>
        </w:rPr>
      </w:pPr>
      <w:r w:rsidRPr="0D14F9BF">
        <w:rPr>
          <w:rFonts w:eastAsia="Calibri"/>
          <w:noProof/>
        </w:rPr>
        <w:t>(</w:t>
      </w:r>
      <w:r w:rsidR="5ABE4BC5" w:rsidRPr="0D14F9BF">
        <w:rPr>
          <w:rFonts w:eastAsia="Calibri"/>
          <w:noProof/>
        </w:rPr>
        <w:t>11</w:t>
      </w:r>
      <w:r w:rsidRPr="0D14F9BF">
        <w:rPr>
          <w:rFonts w:eastAsia="Calibri"/>
          <w:noProof/>
        </w:rPr>
        <w:t xml:space="preserve">) </w:t>
      </w:r>
      <w:r w:rsidR="198CA632" w:rsidRPr="0D14F9BF">
        <w:rPr>
          <w:rFonts w:eastAsia="Calibri"/>
          <w:noProof/>
        </w:rPr>
        <w:t>Ohio DOT. (2012, January)</w:t>
      </w:r>
      <w:r w:rsidR="728DEBDE" w:rsidRPr="0D14F9BF">
        <w:rPr>
          <w:rFonts w:eastAsia="Calibri"/>
          <w:noProof/>
        </w:rPr>
        <w:t>. Chapter 6A, Temporary Traffic Control – General.</w:t>
      </w:r>
      <w:r w:rsidR="728DEBDE" w:rsidRPr="0D14F9BF">
        <w:t xml:space="preserve"> </w:t>
      </w:r>
      <w:hyperlink r:id="rId31" w:history="1">
        <w:r w:rsidR="728DEBDE" w:rsidRPr="0D14F9BF">
          <w:rPr>
            <w:rStyle w:val="Hyperlink"/>
          </w:rPr>
          <w:t>https://www.dot.state.oh.us/roadway/omutcd/Documents/2012%20OMUTCD%20-%20Pt.%206.pdf</w:t>
        </w:r>
      </w:hyperlink>
    </w:p>
    <w:p w14:paraId="24E77D65" w14:textId="4B8C8F28" w:rsidR="7AE77F68" w:rsidRDefault="7AE77F68" w:rsidP="00CE3A48">
      <w:pPr>
        <w:ind w:left="864" w:hanging="432"/>
      </w:pPr>
      <w:r w:rsidRPr="0D14F9BF">
        <w:t>(</w:t>
      </w:r>
      <w:r w:rsidR="25B2FB43" w:rsidRPr="0D14F9BF">
        <w:t>12</w:t>
      </w:r>
      <w:r w:rsidRPr="0D14F9BF">
        <w:t>) MMUTCD. (2011, December). PART 6. TEMPORARY TRAFFIC CONTROL.</w:t>
      </w:r>
      <w:r w:rsidR="503F94AC" w:rsidRPr="0D14F9BF">
        <w:t xml:space="preserve"> </w:t>
      </w:r>
      <w:hyperlink r:id="rId32" w:history="1">
        <w:r w:rsidR="503F94AC" w:rsidRPr="0D14F9BF">
          <w:rPr>
            <w:rStyle w:val="Hyperlink"/>
          </w:rPr>
          <w:t>https://www.roads.maryland.gov/mmutcd/2011_Parts_06_rev2.pdf</w:t>
        </w:r>
      </w:hyperlink>
    </w:p>
    <w:p w14:paraId="48B7873C" w14:textId="45B84C1B" w:rsidR="31A199BA" w:rsidRPr="00CE3A48" w:rsidRDefault="7566E724" w:rsidP="00CE3A48">
      <w:pPr>
        <w:ind w:left="864" w:hanging="432"/>
      </w:pPr>
      <w:r w:rsidRPr="00CE3A48">
        <w:t>(</w:t>
      </w:r>
      <w:r w:rsidR="09325C8B" w:rsidRPr="00CE3A48">
        <w:t>13</w:t>
      </w:r>
      <w:r w:rsidRPr="00CE3A48">
        <w:t xml:space="preserve">) </w:t>
      </w:r>
      <w:r w:rsidR="3CA52F23" w:rsidRPr="00CE3A48">
        <w:rPr>
          <w:noProof/>
        </w:rPr>
        <w:t xml:space="preserve">Washington DOT. WAC 468-95-301: (2011, November). </w:t>
      </w:r>
      <w:hyperlink r:id="rId33" w:history="1">
        <w:r w:rsidR="3CA52F23" w:rsidRPr="0D14F9BF">
          <w:rPr>
            <w:rStyle w:val="Hyperlink"/>
            <w:noProof/>
          </w:rPr>
          <w:t>https://app.leg.wa.gov/wac/default.aspx?cite=468-95-301</w:t>
        </w:r>
      </w:hyperlink>
    </w:p>
    <w:p w14:paraId="1F6A078D" w14:textId="2AEECC47" w:rsidR="31A199BA" w:rsidRDefault="2BEBA1E4" w:rsidP="00CE3A48">
      <w:pPr>
        <w:pStyle w:val="EndNoteBibliography"/>
        <w:ind w:left="864" w:hanging="432"/>
        <w:rPr>
          <w:sz w:val="22"/>
        </w:rPr>
      </w:pPr>
      <w:r w:rsidRPr="00CE3A48">
        <w:rPr>
          <w:sz w:val="22"/>
        </w:rPr>
        <w:t>(</w:t>
      </w:r>
      <w:r w:rsidR="5FBCDF8C" w:rsidRPr="00CE3A48">
        <w:rPr>
          <w:sz w:val="22"/>
        </w:rPr>
        <w:t>14</w:t>
      </w:r>
      <w:r w:rsidRPr="00CE3A48">
        <w:rPr>
          <w:sz w:val="22"/>
        </w:rPr>
        <w:t xml:space="preserve">) </w:t>
      </w:r>
      <w:r w:rsidR="31A199BA" w:rsidRPr="00CE3A48">
        <w:rPr>
          <w:sz w:val="22"/>
        </w:rPr>
        <w:t>Texas DOT:</w:t>
      </w:r>
      <w:r w:rsidR="292C66D0" w:rsidRPr="00CE3A48">
        <w:rPr>
          <w:sz w:val="22"/>
        </w:rPr>
        <w:t xml:space="preserve"> Texas MUTCD. (2011, December). PART 6. TEMPORARY TRAFFIC CONTROL. </w:t>
      </w:r>
      <w:hyperlink r:id="rId34" w:history="1">
        <w:r w:rsidR="292C66D0" w:rsidRPr="0D14F9BF">
          <w:rPr>
            <w:rStyle w:val="Hyperlink"/>
          </w:rPr>
          <w:t>https://ftp.txdot.gov/pub/txdot-info/trf/tmutcd/2011-rev-2/6.pdf</w:t>
        </w:r>
      </w:hyperlink>
      <w:r w:rsidR="4ED08E0B" w:rsidRPr="00CE3A48">
        <w:rPr>
          <w:sz w:val="22"/>
        </w:rPr>
        <w:t>.</w:t>
      </w:r>
    </w:p>
    <w:p w14:paraId="3C71E3CD" w14:textId="4129335C" w:rsidR="0D14F9BF" w:rsidRPr="00CE3A48" w:rsidRDefault="0D14F9BF" w:rsidP="00CE3A48">
      <w:pPr>
        <w:pStyle w:val="EndNoteBibliography"/>
        <w:ind w:left="144" w:hanging="432"/>
        <w:rPr>
          <w:sz w:val="22"/>
        </w:rPr>
      </w:pPr>
    </w:p>
    <w:p w14:paraId="4EB2096D" w14:textId="3FF1B6B7" w:rsidR="0D14F9BF" w:rsidRPr="00CE3A48" w:rsidRDefault="7C72CAC4" w:rsidP="00CE3A48">
      <w:pPr>
        <w:ind w:left="864" w:hanging="432"/>
      </w:pPr>
      <w:r w:rsidRPr="00CE3A48">
        <w:t>(1</w:t>
      </w:r>
      <w:r w:rsidR="46337B51" w:rsidRPr="00CE3A48">
        <w:t>5</w:t>
      </w:r>
      <w:r w:rsidRPr="00CE3A48">
        <w:t xml:space="preserve">) </w:t>
      </w:r>
      <w:r w:rsidRPr="00CE3A48">
        <w:rPr>
          <w:noProof/>
        </w:rPr>
        <w:t xml:space="preserve">Graham, J. L., Harwood, D. W., &amp; Sharp, M. C. (1979). (rep.). </w:t>
      </w:r>
      <w:r w:rsidRPr="00CE3A48">
        <w:rPr>
          <w:i/>
          <w:iCs/>
          <w:noProof/>
        </w:rPr>
        <w:t>Effects of Taper Length on Traffic Operations in Construction Zones</w:t>
      </w:r>
      <w:r w:rsidRPr="00CE3A48">
        <w:rPr>
          <w:noProof/>
        </w:rPr>
        <w:t>. Transportation Research Board.</w:t>
      </w:r>
      <w:r w:rsidR="288645E8" w:rsidRPr="0D14F9BF">
        <w:rPr>
          <w:noProof/>
        </w:rPr>
        <w:t xml:space="preserve"> </w:t>
      </w:r>
      <w:hyperlink r:id="rId35" w:history="1">
        <w:hyperlink r:id="rId36" w:history="1">
          <w:r w:rsidR="288645E8" w:rsidRPr="0D14F9BF">
            <w:rPr>
              <w:noProof/>
            </w:rPr>
            <w:t>https://onlinepubs.trb.org/Onlinepubs/trr/1979/703/703-004.pdf</w:t>
          </w:r>
        </w:hyperlink>
        <w:r w:rsidR="288645E8" w:rsidRPr="0D14F9BF">
          <w:rPr>
            <w:noProof/>
          </w:rPr>
          <w:t>.</w:t>
        </w:r>
      </w:hyperlink>
    </w:p>
    <w:p w14:paraId="220E27EC" w14:textId="0CA8A475" w:rsidR="7C72CAC4" w:rsidRPr="00CE3A48" w:rsidRDefault="7C72CAC4" w:rsidP="00CE3A48">
      <w:pPr>
        <w:ind w:left="864" w:hanging="432"/>
      </w:pPr>
      <w:r w:rsidRPr="00CE3A48">
        <w:t>(1</w:t>
      </w:r>
      <w:r w:rsidR="48EE6AE9" w:rsidRPr="00CE3A48">
        <w:t>6</w:t>
      </w:r>
      <w:r w:rsidRPr="00CE3A48">
        <w:t>)</w:t>
      </w:r>
      <w:r w:rsidR="0CD7F508" w:rsidRPr="00CE3A48">
        <w:t xml:space="preserve"> </w:t>
      </w:r>
      <w:r w:rsidR="0CD7F508" w:rsidRPr="00CE3A48">
        <w:rPr>
          <w:noProof/>
        </w:rPr>
        <w:t xml:space="preserve">Khan, R. A. (2011). </w:t>
      </w:r>
      <w:r w:rsidR="0CD7F508" w:rsidRPr="00CE3A48">
        <w:rPr>
          <w:i/>
          <w:iCs/>
          <w:noProof/>
        </w:rPr>
        <w:t>Driver’s Comfort Level in Construction Zones with Reduced Transition Taper Length: Case Study for Pakistani Conditions</w:t>
      </w:r>
      <w:r w:rsidR="0CD7F508" w:rsidRPr="00CE3A48">
        <w:rPr>
          <w:noProof/>
        </w:rPr>
        <w:t xml:space="preserve"> (thesis). Graduate Dissertations and Theses at Illinois. </w:t>
      </w:r>
      <w:hyperlink r:id="rId37" w:history="1">
        <w:r w:rsidR="0CD7F508" w:rsidRPr="0D14F9BF">
          <w:rPr>
            <w:rStyle w:val="Hyperlink"/>
            <w:noProof/>
          </w:rPr>
          <w:t>https://www.ideals.illinois.edu/items/26337</w:t>
        </w:r>
      </w:hyperlink>
    </w:p>
    <w:p w14:paraId="27350642" w14:textId="1A57E0A9" w:rsidR="0D14F9BF" w:rsidRPr="00CE3A48" w:rsidRDefault="0D14F9BF" w:rsidP="00CE3A48">
      <w:pPr>
        <w:pStyle w:val="EndNoteBibliography"/>
        <w:ind w:left="864" w:hanging="432"/>
        <w:rPr>
          <w:sz w:val="22"/>
        </w:rPr>
      </w:pPr>
    </w:p>
    <w:p w14:paraId="49D5E002" w14:textId="1BD9783F" w:rsidR="7C72CAC4" w:rsidRPr="00CE3A48" w:rsidRDefault="7C72CAC4" w:rsidP="00CE3A48">
      <w:pPr>
        <w:pStyle w:val="EndNoteBibliography"/>
        <w:ind w:left="864" w:hanging="432"/>
        <w:rPr>
          <w:sz w:val="22"/>
        </w:rPr>
      </w:pPr>
      <w:r w:rsidRPr="00CE3A48">
        <w:rPr>
          <w:rFonts w:eastAsia="Times New Roman"/>
          <w:sz w:val="22"/>
        </w:rPr>
        <w:t>(1</w:t>
      </w:r>
      <w:r w:rsidR="07F9752D" w:rsidRPr="00CE3A48">
        <w:rPr>
          <w:rFonts w:eastAsia="Times New Roman"/>
          <w:sz w:val="22"/>
        </w:rPr>
        <w:t>7</w:t>
      </w:r>
      <w:r w:rsidRPr="00CE3A48">
        <w:rPr>
          <w:rFonts w:eastAsia="Times New Roman"/>
          <w:sz w:val="22"/>
        </w:rPr>
        <w:t>)</w:t>
      </w:r>
      <w:r w:rsidR="379B35BA" w:rsidRPr="00CE3A48">
        <w:rPr>
          <w:rFonts w:eastAsia="Times New Roman"/>
          <w:sz w:val="22"/>
        </w:rPr>
        <w:t xml:space="preserve"> Idewu, W., Chanpiwat, P., Naghawi, H. (2020) “Identifying Optimum Taper Lengths for Zipper Merging Applications using Real Data, Microscopic Simulation”, Periodica Polytechnica Transportation Engineering, 48(3), pp. 210–220. </w:t>
      </w:r>
      <w:hyperlink r:id="rId38" w:history="1">
        <w:r w:rsidR="379B35BA" w:rsidRPr="0D14F9BF">
          <w:rPr>
            <w:rStyle w:val="Hyperlink"/>
            <w:rFonts w:eastAsia="Times New Roman"/>
            <w:sz w:val="22"/>
          </w:rPr>
          <w:t>https://doi.org/10.3311/PPtr.13044</w:t>
        </w:r>
      </w:hyperlink>
    </w:p>
    <w:p w14:paraId="6CB1562B" w14:textId="55BFFAD0" w:rsidR="0D14F9BF" w:rsidRPr="00CE3A48" w:rsidRDefault="0D14F9BF" w:rsidP="00CE3A48">
      <w:pPr>
        <w:pStyle w:val="EndNoteBibliography"/>
        <w:ind w:left="144" w:hanging="432"/>
        <w:rPr>
          <w:rFonts w:eastAsia="Times New Roman"/>
          <w:sz w:val="22"/>
        </w:rPr>
      </w:pPr>
    </w:p>
    <w:p w14:paraId="35948ADE" w14:textId="7936D454" w:rsidR="7C72CAC4" w:rsidRDefault="7C72CAC4" w:rsidP="00CE3A48">
      <w:pPr>
        <w:pStyle w:val="EndNoteBibliography"/>
        <w:ind w:left="864" w:hanging="432"/>
        <w:rPr>
          <w:rFonts w:eastAsia="Times New Roman"/>
          <w:sz w:val="22"/>
        </w:rPr>
      </w:pPr>
      <w:r w:rsidRPr="00CE3A48">
        <w:rPr>
          <w:rFonts w:eastAsia="Times New Roman"/>
          <w:sz w:val="22"/>
        </w:rPr>
        <w:t>(1</w:t>
      </w:r>
      <w:r w:rsidR="27112AAC" w:rsidRPr="00CE3A48">
        <w:rPr>
          <w:rFonts w:eastAsia="Times New Roman"/>
          <w:sz w:val="22"/>
        </w:rPr>
        <w:t>8</w:t>
      </w:r>
      <w:r w:rsidRPr="00CE3A48">
        <w:rPr>
          <w:rFonts w:eastAsia="Times New Roman"/>
          <w:sz w:val="22"/>
        </w:rPr>
        <w:t>)</w:t>
      </w:r>
      <w:r w:rsidR="40A9C8A1" w:rsidRPr="0D14F9BF">
        <w:rPr>
          <w:rFonts w:eastAsia="Times New Roman"/>
          <w:sz w:val="22"/>
        </w:rPr>
        <w:t xml:space="preserve"> Theiss, L., Finley, M. D., &amp; Ullman, G. L. (2011). Merging Taper Lengths for Lane Closures of Short Duration. Transportation Research Record, 2258(1), 64-70.</w:t>
      </w:r>
    </w:p>
    <w:p w14:paraId="059FE719" w14:textId="2660D820" w:rsidR="40A9C8A1" w:rsidRPr="00CE3A48" w:rsidRDefault="00000000" w:rsidP="00CE3A48">
      <w:pPr>
        <w:pStyle w:val="EndNoteBibliography"/>
        <w:ind w:left="864"/>
        <w:rPr>
          <w:rFonts w:eastAsia="Times New Roman"/>
          <w:sz w:val="22"/>
        </w:rPr>
      </w:pPr>
      <w:hyperlink r:id="rId39" w:history="1">
        <w:r w:rsidR="40A9C8A1" w:rsidRPr="0D14F9BF">
          <w:rPr>
            <w:rStyle w:val="Hyperlink"/>
            <w:rFonts w:eastAsia="Times New Roman"/>
            <w:sz w:val="22"/>
          </w:rPr>
          <w:t>https://doi.org/10.3141/2258-08</w:t>
        </w:r>
      </w:hyperlink>
    </w:p>
    <w:p w14:paraId="4152F004" w14:textId="41EF214B" w:rsidR="0D14F9BF" w:rsidRPr="00CE3A48" w:rsidRDefault="0D14F9BF" w:rsidP="00CE3A48">
      <w:pPr>
        <w:pStyle w:val="EndNoteBibliography"/>
        <w:ind w:left="-288" w:hanging="432"/>
        <w:rPr>
          <w:sz w:val="22"/>
        </w:rPr>
      </w:pPr>
    </w:p>
    <w:sectPr w:rsidR="0D14F9BF" w:rsidRPr="00CE3A48" w:rsidSect="006D2345">
      <w:headerReference w:type="default" r:id="rId40"/>
      <w:footerReference w:type="default" r:id="rId4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0DC54" w14:textId="77777777" w:rsidR="00122453" w:rsidRDefault="00122453" w:rsidP="00596B4C">
      <w:pPr>
        <w:spacing w:after="0" w:line="240" w:lineRule="auto"/>
      </w:pPr>
      <w:r>
        <w:separator/>
      </w:r>
    </w:p>
  </w:endnote>
  <w:endnote w:type="continuationSeparator" w:id="0">
    <w:p w14:paraId="0C6D73EE" w14:textId="77777777" w:rsidR="00122453" w:rsidRDefault="00122453" w:rsidP="00596B4C">
      <w:pPr>
        <w:spacing w:after="0" w:line="240" w:lineRule="auto"/>
      </w:pPr>
      <w:r>
        <w:continuationSeparator/>
      </w:r>
    </w:p>
  </w:endnote>
  <w:endnote w:type="continuationNotice" w:id="1">
    <w:p w14:paraId="086F2574" w14:textId="77777777" w:rsidR="00122453" w:rsidRDefault="001224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4573" w14:textId="54E08175" w:rsidR="00596B4C" w:rsidRDefault="00596B4C">
    <w:pPr>
      <w:pStyle w:val="Footer"/>
    </w:pPr>
    <w:r>
      <w:rPr>
        <w:noProof/>
      </w:rPr>
      <mc:AlternateContent>
        <mc:Choice Requires="wps">
          <w:drawing>
            <wp:anchor distT="0" distB="0" distL="114300" distR="114300" simplePos="0" relativeHeight="251658240" behindDoc="0" locked="0" layoutInCell="0" allowOverlap="1" wp14:anchorId="43D35599" wp14:editId="374EA649">
              <wp:simplePos x="0" y="0"/>
              <wp:positionH relativeFrom="page">
                <wp:posOffset>0</wp:posOffset>
              </wp:positionH>
              <wp:positionV relativeFrom="page">
                <wp:posOffset>9363075</wp:posOffset>
              </wp:positionV>
              <wp:extent cx="7772400" cy="504825"/>
              <wp:effectExtent l="0" t="0" r="0" b="9525"/>
              <wp:wrapNone/>
              <wp:docPr id="1" name="Text Box 1" descr="{&quot;HashCode&quot;:-51652817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48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E14A36" w14:textId="0FABCCE5" w:rsidR="00596B4C" w:rsidRPr="00596B4C" w:rsidRDefault="00596B4C" w:rsidP="00596B4C">
                          <w:pPr>
                            <w:spacing w:after="0"/>
                            <w:jc w:val="center"/>
                            <w:rPr>
                              <w:rFonts w:ascii="Arial" w:hAnsi="Arial" w:cs="Arial"/>
                              <w:color w:val="000000"/>
                              <w:sz w:val="16"/>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68ADAD57">
            <v:shapetype id="_x0000_t202" coordsize="21600,21600" o:spt="202" path="m,l,21600r21600,l21600,xe" w14:anchorId="43D35599">
              <v:stroke joinstyle="miter"/>
              <v:path gradientshapeok="t" o:connecttype="rect"/>
            </v:shapetype>
            <v:shape id="Text Box 1" style="position:absolute;margin-left:0;margin-top:737.25pt;width:612pt;height:39.7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516528177,&quot;Height&quot;:792.0,&quot;Width&quot;:612.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">
              <v:textbox inset=",0,,0">
                <w:txbxContent>
                  <w:p w:rsidRPr="00596B4C" w:rsidR="00596B4C" w:rsidP="00596B4C" w:rsidRDefault="00596B4C" w14:paraId="672A6659" w14:textId="0FABCCE5">
                    <w:pPr>
                      <w:spacing w:after="0"/>
                      <w:jc w:val="center"/>
                      <w:rPr>
                        <w:rFonts w:ascii="Arial" w:hAnsi="Arial" w:cs="Arial"/>
                        <w:color w:val="000000"/>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2D5E7" w14:textId="77777777" w:rsidR="00122453" w:rsidRDefault="00122453" w:rsidP="00596B4C">
      <w:pPr>
        <w:spacing w:after="0" w:line="240" w:lineRule="auto"/>
      </w:pPr>
      <w:r>
        <w:separator/>
      </w:r>
    </w:p>
  </w:footnote>
  <w:footnote w:type="continuationSeparator" w:id="0">
    <w:p w14:paraId="3589E3DA" w14:textId="77777777" w:rsidR="00122453" w:rsidRDefault="00122453" w:rsidP="00596B4C">
      <w:pPr>
        <w:spacing w:after="0" w:line="240" w:lineRule="auto"/>
      </w:pPr>
      <w:r>
        <w:continuationSeparator/>
      </w:r>
    </w:p>
  </w:footnote>
  <w:footnote w:type="continuationNotice" w:id="1">
    <w:p w14:paraId="6EFED923" w14:textId="77777777" w:rsidR="00122453" w:rsidRDefault="001224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47C0" w14:textId="51349CAA" w:rsidR="00596B4C" w:rsidRDefault="00596B4C">
    <w:pPr>
      <w:pStyle w:val="Header"/>
    </w:pPr>
    <w:r>
      <w:rPr>
        <w:noProof/>
      </w:rPr>
      <mc:AlternateContent>
        <mc:Choice Requires="wps">
          <w:drawing>
            <wp:anchor distT="0" distB="0" distL="114300" distR="114300" simplePos="0" relativeHeight="251658241" behindDoc="0" locked="0" layoutInCell="0" allowOverlap="1" wp14:anchorId="6A6AFD32" wp14:editId="07E6E4EC">
              <wp:simplePos x="0" y="0"/>
              <wp:positionH relativeFrom="page">
                <wp:posOffset>0</wp:posOffset>
              </wp:positionH>
              <wp:positionV relativeFrom="page">
                <wp:posOffset>190500</wp:posOffset>
              </wp:positionV>
              <wp:extent cx="7772400" cy="252095"/>
              <wp:effectExtent l="0" t="0" r="0" b="14605"/>
              <wp:wrapNone/>
              <wp:docPr id="2" name="Text Box 2" descr="{&quot;HashCode&quot;:662692845,&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84BB19" w14:textId="13D93AA7" w:rsidR="00596B4C" w:rsidRPr="00596B4C" w:rsidRDefault="00596B4C" w:rsidP="00596B4C">
                          <w:pPr>
                            <w:spacing w:after="0"/>
                            <w:jc w:val="center"/>
                            <w:rPr>
                              <w:rFonts w:ascii="Arial" w:hAnsi="Arial" w:cs="Arial"/>
                              <w:color w:val="000000"/>
                              <w:sz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2079BC24">
            <v:shapetype id="_x0000_t202" coordsize="21600,21600" o:spt="202" path="m,l,21600r21600,l21600,xe" w14:anchorId="6A6AFD32">
              <v:stroke joinstyle="miter"/>
              <v:path gradientshapeok="t" o:connecttype="rect"/>
            </v:shapetype>
            <v:shape id="Text Box 2" style="position:absolute;margin-left:0;margin-top:15pt;width:612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alt="{&quot;HashCode&quot;:662692845,&quot;Height&quot;:792.0,&quot;Width&quot;:612.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SKEwIAACQ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">
              <v:textbox inset=",0,,0">
                <w:txbxContent>
                  <w:p w:rsidRPr="00596B4C" w:rsidR="00596B4C" w:rsidP="00596B4C" w:rsidRDefault="00596B4C" w14:paraId="0A37501D" w14:textId="13D93AA7">
                    <w:pPr>
                      <w:spacing w:after="0"/>
                      <w:jc w:val="center"/>
                      <w:rPr>
                        <w:rFonts w:ascii="Arial" w:hAnsi="Arial" w:cs="Arial"/>
                        <w:color w:val="000000"/>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4F9F"/>
    <w:multiLevelType w:val="multilevel"/>
    <w:tmpl w:val="9A8C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7367E"/>
    <w:multiLevelType w:val="hybridMultilevel"/>
    <w:tmpl w:val="42949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D1970"/>
    <w:multiLevelType w:val="hybridMultilevel"/>
    <w:tmpl w:val="0E64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81566"/>
    <w:multiLevelType w:val="hybridMultilevel"/>
    <w:tmpl w:val="8828D13A"/>
    <w:lvl w:ilvl="0" w:tplc="1CF41EDC">
      <w:start w:val="1"/>
      <w:numFmt w:val="bullet"/>
      <w:lvlText w:val=""/>
      <w:lvlJc w:val="left"/>
      <w:pPr>
        <w:ind w:left="720" w:hanging="360"/>
      </w:pPr>
      <w:rPr>
        <w:rFonts w:ascii="Symbol" w:hAnsi="Symbol" w:hint="default"/>
      </w:rPr>
    </w:lvl>
    <w:lvl w:ilvl="1" w:tplc="56FEDD6A">
      <w:start w:val="1"/>
      <w:numFmt w:val="bullet"/>
      <w:lvlText w:val="o"/>
      <w:lvlJc w:val="left"/>
      <w:pPr>
        <w:ind w:left="1440" w:hanging="360"/>
      </w:pPr>
      <w:rPr>
        <w:rFonts w:ascii="Courier New" w:hAnsi="Courier New" w:hint="default"/>
      </w:rPr>
    </w:lvl>
    <w:lvl w:ilvl="2" w:tplc="E816109A">
      <w:start w:val="1"/>
      <w:numFmt w:val="bullet"/>
      <w:lvlText w:val=""/>
      <w:lvlJc w:val="left"/>
      <w:pPr>
        <w:ind w:left="2160" w:hanging="360"/>
      </w:pPr>
      <w:rPr>
        <w:rFonts w:ascii="Wingdings" w:hAnsi="Wingdings" w:hint="default"/>
      </w:rPr>
    </w:lvl>
    <w:lvl w:ilvl="3" w:tplc="47B085C2">
      <w:start w:val="1"/>
      <w:numFmt w:val="bullet"/>
      <w:lvlText w:val=""/>
      <w:lvlJc w:val="left"/>
      <w:pPr>
        <w:ind w:left="2880" w:hanging="360"/>
      </w:pPr>
      <w:rPr>
        <w:rFonts w:ascii="Symbol" w:hAnsi="Symbol" w:hint="default"/>
      </w:rPr>
    </w:lvl>
    <w:lvl w:ilvl="4" w:tplc="E7FC6E6E">
      <w:start w:val="1"/>
      <w:numFmt w:val="bullet"/>
      <w:lvlText w:val="o"/>
      <w:lvlJc w:val="left"/>
      <w:pPr>
        <w:ind w:left="3600" w:hanging="360"/>
      </w:pPr>
      <w:rPr>
        <w:rFonts w:ascii="Courier New" w:hAnsi="Courier New" w:hint="default"/>
      </w:rPr>
    </w:lvl>
    <w:lvl w:ilvl="5" w:tplc="DBCA8AA8">
      <w:start w:val="1"/>
      <w:numFmt w:val="bullet"/>
      <w:lvlText w:val=""/>
      <w:lvlJc w:val="left"/>
      <w:pPr>
        <w:ind w:left="4320" w:hanging="360"/>
      </w:pPr>
      <w:rPr>
        <w:rFonts w:ascii="Wingdings" w:hAnsi="Wingdings" w:hint="default"/>
      </w:rPr>
    </w:lvl>
    <w:lvl w:ilvl="6" w:tplc="CB4A573E">
      <w:start w:val="1"/>
      <w:numFmt w:val="bullet"/>
      <w:lvlText w:val=""/>
      <w:lvlJc w:val="left"/>
      <w:pPr>
        <w:ind w:left="5040" w:hanging="360"/>
      </w:pPr>
      <w:rPr>
        <w:rFonts w:ascii="Symbol" w:hAnsi="Symbol" w:hint="default"/>
      </w:rPr>
    </w:lvl>
    <w:lvl w:ilvl="7" w:tplc="66F4FD6C">
      <w:start w:val="1"/>
      <w:numFmt w:val="bullet"/>
      <w:lvlText w:val="o"/>
      <w:lvlJc w:val="left"/>
      <w:pPr>
        <w:ind w:left="5760" w:hanging="360"/>
      </w:pPr>
      <w:rPr>
        <w:rFonts w:ascii="Courier New" w:hAnsi="Courier New" w:hint="default"/>
      </w:rPr>
    </w:lvl>
    <w:lvl w:ilvl="8" w:tplc="E028DD80">
      <w:start w:val="1"/>
      <w:numFmt w:val="bullet"/>
      <w:lvlText w:val=""/>
      <w:lvlJc w:val="left"/>
      <w:pPr>
        <w:ind w:left="6480" w:hanging="360"/>
      </w:pPr>
      <w:rPr>
        <w:rFonts w:ascii="Wingdings" w:hAnsi="Wingdings" w:hint="default"/>
      </w:rPr>
    </w:lvl>
  </w:abstractNum>
  <w:abstractNum w:abstractNumId="4" w15:restartNumberingAfterBreak="0">
    <w:nsid w:val="284C31ED"/>
    <w:multiLevelType w:val="hybridMultilevel"/>
    <w:tmpl w:val="08447BCA"/>
    <w:lvl w:ilvl="0" w:tplc="7E3C68F6">
      <w:start w:val="1"/>
      <w:numFmt w:val="bullet"/>
      <w:lvlText w:val=""/>
      <w:lvlJc w:val="left"/>
      <w:pPr>
        <w:ind w:left="720" w:hanging="360"/>
      </w:pPr>
      <w:rPr>
        <w:rFonts w:ascii="Symbol" w:hAnsi="Symbol" w:hint="default"/>
      </w:rPr>
    </w:lvl>
    <w:lvl w:ilvl="1" w:tplc="2D86DEA8">
      <w:start w:val="1"/>
      <w:numFmt w:val="bullet"/>
      <w:lvlText w:val="o"/>
      <w:lvlJc w:val="left"/>
      <w:pPr>
        <w:ind w:left="1440" w:hanging="360"/>
      </w:pPr>
      <w:rPr>
        <w:rFonts w:ascii="Courier New" w:hAnsi="Courier New" w:hint="default"/>
      </w:rPr>
    </w:lvl>
    <w:lvl w:ilvl="2" w:tplc="7EDA0FF0">
      <w:start w:val="1"/>
      <w:numFmt w:val="bullet"/>
      <w:lvlText w:val=""/>
      <w:lvlJc w:val="left"/>
      <w:pPr>
        <w:ind w:left="2160" w:hanging="360"/>
      </w:pPr>
      <w:rPr>
        <w:rFonts w:ascii="Wingdings" w:hAnsi="Wingdings" w:hint="default"/>
      </w:rPr>
    </w:lvl>
    <w:lvl w:ilvl="3" w:tplc="A6F6D31C">
      <w:start w:val="1"/>
      <w:numFmt w:val="bullet"/>
      <w:lvlText w:val=""/>
      <w:lvlJc w:val="left"/>
      <w:pPr>
        <w:ind w:left="2880" w:hanging="360"/>
      </w:pPr>
      <w:rPr>
        <w:rFonts w:ascii="Symbol" w:hAnsi="Symbol" w:hint="default"/>
      </w:rPr>
    </w:lvl>
    <w:lvl w:ilvl="4" w:tplc="9042C106">
      <w:start w:val="1"/>
      <w:numFmt w:val="bullet"/>
      <w:lvlText w:val="o"/>
      <w:lvlJc w:val="left"/>
      <w:pPr>
        <w:ind w:left="3600" w:hanging="360"/>
      </w:pPr>
      <w:rPr>
        <w:rFonts w:ascii="Courier New" w:hAnsi="Courier New" w:hint="default"/>
      </w:rPr>
    </w:lvl>
    <w:lvl w:ilvl="5" w:tplc="7A6E5442">
      <w:start w:val="1"/>
      <w:numFmt w:val="bullet"/>
      <w:lvlText w:val=""/>
      <w:lvlJc w:val="left"/>
      <w:pPr>
        <w:ind w:left="4320" w:hanging="360"/>
      </w:pPr>
      <w:rPr>
        <w:rFonts w:ascii="Wingdings" w:hAnsi="Wingdings" w:hint="default"/>
      </w:rPr>
    </w:lvl>
    <w:lvl w:ilvl="6" w:tplc="DFF66628">
      <w:start w:val="1"/>
      <w:numFmt w:val="bullet"/>
      <w:lvlText w:val=""/>
      <w:lvlJc w:val="left"/>
      <w:pPr>
        <w:ind w:left="5040" w:hanging="360"/>
      </w:pPr>
      <w:rPr>
        <w:rFonts w:ascii="Symbol" w:hAnsi="Symbol" w:hint="default"/>
      </w:rPr>
    </w:lvl>
    <w:lvl w:ilvl="7" w:tplc="AC3E4FDE">
      <w:start w:val="1"/>
      <w:numFmt w:val="bullet"/>
      <w:lvlText w:val="o"/>
      <w:lvlJc w:val="left"/>
      <w:pPr>
        <w:ind w:left="5760" w:hanging="360"/>
      </w:pPr>
      <w:rPr>
        <w:rFonts w:ascii="Courier New" w:hAnsi="Courier New" w:hint="default"/>
      </w:rPr>
    </w:lvl>
    <w:lvl w:ilvl="8" w:tplc="8C88C9DA">
      <w:start w:val="1"/>
      <w:numFmt w:val="bullet"/>
      <w:lvlText w:val=""/>
      <w:lvlJc w:val="left"/>
      <w:pPr>
        <w:ind w:left="6480" w:hanging="360"/>
      </w:pPr>
      <w:rPr>
        <w:rFonts w:ascii="Wingdings" w:hAnsi="Wingdings" w:hint="default"/>
      </w:rPr>
    </w:lvl>
  </w:abstractNum>
  <w:abstractNum w:abstractNumId="5" w15:restartNumberingAfterBreak="0">
    <w:nsid w:val="2C573166"/>
    <w:multiLevelType w:val="hybridMultilevel"/>
    <w:tmpl w:val="99E8F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E42BF3"/>
    <w:multiLevelType w:val="hybridMultilevel"/>
    <w:tmpl w:val="5D8073D0"/>
    <w:lvl w:ilvl="0" w:tplc="F2DA5A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B51896"/>
    <w:multiLevelType w:val="hybridMultilevel"/>
    <w:tmpl w:val="7046B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2B7877"/>
    <w:multiLevelType w:val="hybridMultilevel"/>
    <w:tmpl w:val="395AB9B2"/>
    <w:lvl w:ilvl="0" w:tplc="8B88485A">
      <w:start w:val="1"/>
      <w:numFmt w:val="bullet"/>
      <w:lvlText w:val=""/>
      <w:lvlJc w:val="left"/>
      <w:pPr>
        <w:ind w:left="720" w:hanging="360"/>
      </w:pPr>
      <w:rPr>
        <w:rFonts w:ascii="Symbol" w:hAnsi="Symbol" w:hint="default"/>
      </w:rPr>
    </w:lvl>
    <w:lvl w:ilvl="1" w:tplc="065EB648">
      <w:start w:val="1"/>
      <w:numFmt w:val="bullet"/>
      <w:lvlText w:val="o"/>
      <w:lvlJc w:val="left"/>
      <w:pPr>
        <w:ind w:left="1440" w:hanging="360"/>
      </w:pPr>
      <w:rPr>
        <w:rFonts w:ascii="Courier New" w:hAnsi="Courier New" w:hint="default"/>
      </w:rPr>
    </w:lvl>
    <w:lvl w:ilvl="2" w:tplc="6BDA1254">
      <w:start w:val="1"/>
      <w:numFmt w:val="bullet"/>
      <w:lvlText w:val=""/>
      <w:lvlJc w:val="left"/>
      <w:pPr>
        <w:ind w:left="2160" w:hanging="360"/>
      </w:pPr>
      <w:rPr>
        <w:rFonts w:ascii="Wingdings" w:hAnsi="Wingdings" w:hint="default"/>
      </w:rPr>
    </w:lvl>
    <w:lvl w:ilvl="3" w:tplc="883E1C14">
      <w:start w:val="1"/>
      <w:numFmt w:val="bullet"/>
      <w:lvlText w:val=""/>
      <w:lvlJc w:val="left"/>
      <w:pPr>
        <w:ind w:left="2880" w:hanging="360"/>
      </w:pPr>
      <w:rPr>
        <w:rFonts w:ascii="Symbol" w:hAnsi="Symbol" w:hint="default"/>
      </w:rPr>
    </w:lvl>
    <w:lvl w:ilvl="4" w:tplc="6F6AA66C">
      <w:start w:val="1"/>
      <w:numFmt w:val="bullet"/>
      <w:lvlText w:val="o"/>
      <w:lvlJc w:val="left"/>
      <w:pPr>
        <w:ind w:left="3600" w:hanging="360"/>
      </w:pPr>
      <w:rPr>
        <w:rFonts w:ascii="Courier New" w:hAnsi="Courier New" w:hint="default"/>
      </w:rPr>
    </w:lvl>
    <w:lvl w:ilvl="5" w:tplc="FC3AD74E">
      <w:start w:val="1"/>
      <w:numFmt w:val="bullet"/>
      <w:lvlText w:val=""/>
      <w:lvlJc w:val="left"/>
      <w:pPr>
        <w:ind w:left="4320" w:hanging="360"/>
      </w:pPr>
      <w:rPr>
        <w:rFonts w:ascii="Wingdings" w:hAnsi="Wingdings" w:hint="default"/>
      </w:rPr>
    </w:lvl>
    <w:lvl w:ilvl="6" w:tplc="7A2EC814">
      <w:start w:val="1"/>
      <w:numFmt w:val="bullet"/>
      <w:lvlText w:val=""/>
      <w:lvlJc w:val="left"/>
      <w:pPr>
        <w:ind w:left="5040" w:hanging="360"/>
      </w:pPr>
      <w:rPr>
        <w:rFonts w:ascii="Symbol" w:hAnsi="Symbol" w:hint="default"/>
      </w:rPr>
    </w:lvl>
    <w:lvl w:ilvl="7" w:tplc="1AEE5E1E">
      <w:start w:val="1"/>
      <w:numFmt w:val="bullet"/>
      <w:lvlText w:val="o"/>
      <w:lvlJc w:val="left"/>
      <w:pPr>
        <w:ind w:left="5760" w:hanging="360"/>
      </w:pPr>
      <w:rPr>
        <w:rFonts w:ascii="Courier New" w:hAnsi="Courier New" w:hint="default"/>
      </w:rPr>
    </w:lvl>
    <w:lvl w:ilvl="8" w:tplc="320EAB9E">
      <w:start w:val="1"/>
      <w:numFmt w:val="bullet"/>
      <w:lvlText w:val=""/>
      <w:lvlJc w:val="left"/>
      <w:pPr>
        <w:ind w:left="6480" w:hanging="360"/>
      </w:pPr>
      <w:rPr>
        <w:rFonts w:ascii="Wingdings" w:hAnsi="Wingdings" w:hint="default"/>
      </w:rPr>
    </w:lvl>
  </w:abstractNum>
  <w:abstractNum w:abstractNumId="9" w15:restartNumberingAfterBreak="0">
    <w:nsid w:val="3B7962C0"/>
    <w:multiLevelType w:val="hybridMultilevel"/>
    <w:tmpl w:val="01F43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1333F9"/>
    <w:multiLevelType w:val="hybridMultilevel"/>
    <w:tmpl w:val="2A3CB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C8FACB"/>
    <w:multiLevelType w:val="hybridMultilevel"/>
    <w:tmpl w:val="25FA3C06"/>
    <w:lvl w:ilvl="0" w:tplc="30661406">
      <w:start w:val="1"/>
      <w:numFmt w:val="bullet"/>
      <w:lvlText w:val=""/>
      <w:lvlJc w:val="left"/>
      <w:pPr>
        <w:ind w:left="1080" w:hanging="360"/>
      </w:pPr>
      <w:rPr>
        <w:rFonts w:ascii="Symbol" w:hAnsi="Symbol" w:hint="default"/>
      </w:rPr>
    </w:lvl>
    <w:lvl w:ilvl="1" w:tplc="864EF70E">
      <w:start w:val="1"/>
      <w:numFmt w:val="bullet"/>
      <w:lvlText w:val="o"/>
      <w:lvlJc w:val="left"/>
      <w:pPr>
        <w:ind w:left="1440" w:hanging="360"/>
      </w:pPr>
      <w:rPr>
        <w:rFonts w:ascii="Courier New" w:hAnsi="Courier New" w:hint="default"/>
      </w:rPr>
    </w:lvl>
    <w:lvl w:ilvl="2" w:tplc="5E960E3E">
      <w:start w:val="1"/>
      <w:numFmt w:val="bullet"/>
      <w:lvlText w:val=""/>
      <w:lvlJc w:val="left"/>
      <w:pPr>
        <w:ind w:left="2160" w:hanging="360"/>
      </w:pPr>
      <w:rPr>
        <w:rFonts w:ascii="Wingdings" w:hAnsi="Wingdings" w:hint="default"/>
      </w:rPr>
    </w:lvl>
    <w:lvl w:ilvl="3" w:tplc="AE4C0E4A">
      <w:start w:val="1"/>
      <w:numFmt w:val="bullet"/>
      <w:lvlText w:val=""/>
      <w:lvlJc w:val="left"/>
      <w:pPr>
        <w:ind w:left="2880" w:hanging="360"/>
      </w:pPr>
      <w:rPr>
        <w:rFonts w:ascii="Symbol" w:hAnsi="Symbol" w:hint="default"/>
      </w:rPr>
    </w:lvl>
    <w:lvl w:ilvl="4" w:tplc="67EA0116">
      <w:start w:val="1"/>
      <w:numFmt w:val="bullet"/>
      <w:lvlText w:val="o"/>
      <w:lvlJc w:val="left"/>
      <w:pPr>
        <w:ind w:left="3600" w:hanging="360"/>
      </w:pPr>
      <w:rPr>
        <w:rFonts w:ascii="Courier New" w:hAnsi="Courier New" w:hint="default"/>
      </w:rPr>
    </w:lvl>
    <w:lvl w:ilvl="5" w:tplc="E7625DD4">
      <w:start w:val="1"/>
      <w:numFmt w:val="bullet"/>
      <w:lvlText w:val=""/>
      <w:lvlJc w:val="left"/>
      <w:pPr>
        <w:ind w:left="4320" w:hanging="360"/>
      </w:pPr>
      <w:rPr>
        <w:rFonts w:ascii="Wingdings" w:hAnsi="Wingdings" w:hint="default"/>
      </w:rPr>
    </w:lvl>
    <w:lvl w:ilvl="6" w:tplc="267A64AC">
      <w:start w:val="1"/>
      <w:numFmt w:val="bullet"/>
      <w:lvlText w:val=""/>
      <w:lvlJc w:val="left"/>
      <w:pPr>
        <w:ind w:left="5040" w:hanging="360"/>
      </w:pPr>
      <w:rPr>
        <w:rFonts w:ascii="Symbol" w:hAnsi="Symbol" w:hint="default"/>
      </w:rPr>
    </w:lvl>
    <w:lvl w:ilvl="7" w:tplc="B3426FFE">
      <w:start w:val="1"/>
      <w:numFmt w:val="bullet"/>
      <w:lvlText w:val="o"/>
      <w:lvlJc w:val="left"/>
      <w:pPr>
        <w:ind w:left="5760" w:hanging="360"/>
      </w:pPr>
      <w:rPr>
        <w:rFonts w:ascii="Courier New" w:hAnsi="Courier New" w:hint="default"/>
      </w:rPr>
    </w:lvl>
    <w:lvl w:ilvl="8" w:tplc="D432FC3A">
      <w:start w:val="1"/>
      <w:numFmt w:val="bullet"/>
      <w:lvlText w:val=""/>
      <w:lvlJc w:val="left"/>
      <w:pPr>
        <w:ind w:left="6480" w:hanging="360"/>
      </w:pPr>
      <w:rPr>
        <w:rFonts w:ascii="Wingdings" w:hAnsi="Wingdings" w:hint="default"/>
      </w:rPr>
    </w:lvl>
  </w:abstractNum>
  <w:abstractNum w:abstractNumId="12" w15:restartNumberingAfterBreak="0">
    <w:nsid w:val="4C0D635D"/>
    <w:multiLevelType w:val="hybridMultilevel"/>
    <w:tmpl w:val="6CA67AD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2293448"/>
    <w:multiLevelType w:val="hybridMultilevel"/>
    <w:tmpl w:val="DFE27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3E5F7F"/>
    <w:multiLevelType w:val="hybridMultilevel"/>
    <w:tmpl w:val="A6721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424A3F"/>
    <w:multiLevelType w:val="hybridMultilevel"/>
    <w:tmpl w:val="0FBAC89E"/>
    <w:lvl w:ilvl="0" w:tplc="EF9E46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BAF0A4"/>
    <w:multiLevelType w:val="hybridMultilevel"/>
    <w:tmpl w:val="7B805600"/>
    <w:lvl w:ilvl="0" w:tplc="CDF277EC">
      <w:start w:val="1"/>
      <w:numFmt w:val="decimal"/>
      <w:lvlText w:val="(%1)"/>
      <w:lvlJc w:val="left"/>
      <w:pPr>
        <w:ind w:left="720" w:hanging="360"/>
      </w:pPr>
    </w:lvl>
    <w:lvl w:ilvl="1" w:tplc="291EEC6E">
      <w:start w:val="1"/>
      <w:numFmt w:val="lowerLetter"/>
      <w:lvlText w:val="%2."/>
      <w:lvlJc w:val="left"/>
      <w:pPr>
        <w:ind w:left="1440" w:hanging="360"/>
      </w:pPr>
    </w:lvl>
    <w:lvl w:ilvl="2" w:tplc="D9F88856">
      <w:start w:val="1"/>
      <w:numFmt w:val="lowerRoman"/>
      <w:lvlText w:val="%3."/>
      <w:lvlJc w:val="right"/>
      <w:pPr>
        <w:ind w:left="2160" w:hanging="180"/>
      </w:pPr>
    </w:lvl>
    <w:lvl w:ilvl="3" w:tplc="E4B829C0">
      <w:start w:val="1"/>
      <w:numFmt w:val="decimal"/>
      <w:lvlText w:val="%4."/>
      <w:lvlJc w:val="left"/>
      <w:pPr>
        <w:ind w:left="2880" w:hanging="360"/>
      </w:pPr>
    </w:lvl>
    <w:lvl w:ilvl="4" w:tplc="1D12865E">
      <w:start w:val="1"/>
      <w:numFmt w:val="lowerLetter"/>
      <w:lvlText w:val="%5."/>
      <w:lvlJc w:val="left"/>
      <w:pPr>
        <w:ind w:left="3600" w:hanging="360"/>
      </w:pPr>
    </w:lvl>
    <w:lvl w:ilvl="5" w:tplc="2E025FCA">
      <w:start w:val="1"/>
      <w:numFmt w:val="lowerRoman"/>
      <w:lvlText w:val="%6."/>
      <w:lvlJc w:val="right"/>
      <w:pPr>
        <w:ind w:left="4320" w:hanging="180"/>
      </w:pPr>
    </w:lvl>
    <w:lvl w:ilvl="6" w:tplc="5FB639AE">
      <w:start w:val="1"/>
      <w:numFmt w:val="decimal"/>
      <w:lvlText w:val="%7."/>
      <w:lvlJc w:val="left"/>
      <w:pPr>
        <w:ind w:left="5040" w:hanging="360"/>
      </w:pPr>
    </w:lvl>
    <w:lvl w:ilvl="7" w:tplc="14426760">
      <w:start w:val="1"/>
      <w:numFmt w:val="lowerLetter"/>
      <w:lvlText w:val="%8."/>
      <w:lvlJc w:val="left"/>
      <w:pPr>
        <w:ind w:left="5760" w:hanging="360"/>
      </w:pPr>
    </w:lvl>
    <w:lvl w:ilvl="8" w:tplc="43DE0104">
      <w:start w:val="1"/>
      <w:numFmt w:val="lowerRoman"/>
      <w:lvlText w:val="%9."/>
      <w:lvlJc w:val="right"/>
      <w:pPr>
        <w:ind w:left="6480" w:hanging="180"/>
      </w:pPr>
    </w:lvl>
  </w:abstractNum>
  <w:abstractNum w:abstractNumId="17" w15:restartNumberingAfterBreak="0">
    <w:nsid w:val="59D5AA55"/>
    <w:multiLevelType w:val="hybridMultilevel"/>
    <w:tmpl w:val="D4F43390"/>
    <w:lvl w:ilvl="0" w:tplc="7F9881BC">
      <w:start w:val="1"/>
      <w:numFmt w:val="bullet"/>
      <w:lvlText w:val=""/>
      <w:lvlJc w:val="left"/>
      <w:pPr>
        <w:ind w:left="720" w:hanging="360"/>
      </w:pPr>
      <w:rPr>
        <w:rFonts w:ascii="Symbol" w:hAnsi="Symbol" w:hint="default"/>
      </w:rPr>
    </w:lvl>
    <w:lvl w:ilvl="1" w:tplc="6A98E562">
      <w:start w:val="1"/>
      <w:numFmt w:val="bullet"/>
      <w:lvlText w:val="o"/>
      <w:lvlJc w:val="left"/>
      <w:pPr>
        <w:ind w:left="1440" w:hanging="360"/>
      </w:pPr>
      <w:rPr>
        <w:rFonts w:ascii="Courier New" w:hAnsi="Courier New" w:hint="default"/>
      </w:rPr>
    </w:lvl>
    <w:lvl w:ilvl="2" w:tplc="8CBEF8CC">
      <w:start w:val="1"/>
      <w:numFmt w:val="bullet"/>
      <w:lvlText w:val=""/>
      <w:lvlJc w:val="left"/>
      <w:pPr>
        <w:ind w:left="2160" w:hanging="360"/>
      </w:pPr>
      <w:rPr>
        <w:rFonts w:ascii="Wingdings" w:hAnsi="Wingdings" w:hint="default"/>
      </w:rPr>
    </w:lvl>
    <w:lvl w:ilvl="3" w:tplc="334671EC">
      <w:start w:val="1"/>
      <w:numFmt w:val="bullet"/>
      <w:lvlText w:val=""/>
      <w:lvlJc w:val="left"/>
      <w:pPr>
        <w:ind w:left="2880" w:hanging="360"/>
      </w:pPr>
      <w:rPr>
        <w:rFonts w:ascii="Symbol" w:hAnsi="Symbol" w:hint="default"/>
      </w:rPr>
    </w:lvl>
    <w:lvl w:ilvl="4" w:tplc="D750A10E">
      <w:start w:val="1"/>
      <w:numFmt w:val="bullet"/>
      <w:lvlText w:val="o"/>
      <w:lvlJc w:val="left"/>
      <w:pPr>
        <w:ind w:left="3600" w:hanging="360"/>
      </w:pPr>
      <w:rPr>
        <w:rFonts w:ascii="Courier New" w:hAnsi="Courier New" w:hint="default"/>
      </w:rPr>
    </w:lvl>
    <w:lvl w:ilvl="5" w:tplc="1980B804">
      <w:start w:val="1"/>
      <w:numFmt w:val="bullet"/>
      <w:lvlText w:val=""/>
      <w:lvlJc w:val="left"/>
      <w:pPr>
        <w:ind w:left="4320" w:hanging="360"/>
      </w:pPr>
      <w:rPr>
        <w:rFonts w:ascii="Wingdings" w:hAnsi="Wingdings" w:hint="default"/>
      </w:rPr>
    </w:lvl>
    <w:lvl w:ilvl="6" w:tplc="F4F63F40">
      <w:start w:val="1"/>
      <w:numFmt w:val="bullet"/>
      <w:lvlText w:val=""/>
      <w:lvlJc w:val="left"/>
      <w:pPr>
        <w:ind w:left="5040" w:hanging="360"/>
      </w:pPr>
      <w:rPr>
        <w:rFonts w:ascii="Symbol" w:hAnsi="Symbol" w:hint="default"/>
      </w:rPr>
    </w:lvl>
    <w:lvl w:ilvl="7" w:tplc="CEC88B68">
      <w:start w:val="1"/>
      <w:numFmt w:val="bullet"/>
      <w:lvlText w:val="o"/>
      <w:lvlJc w:val="left"/>
      <w:pPr>
        <w:ind w:left="5760" w:hanging="360"/>
      </w:pPr>
      <w:rPr>
        <w:rFonts w:ascii="Courier New" w:hAnsi="Courier New" w:hint="default"/>
      </w:rPr>
    </w:lvl>
    <w:lvl w:ilvl="8" w:tplc="B1127B6E">
      <w:start w:val="1"/>
      <w:numFmt w:val="bullet"/>
      <w:lvlText w:val=""/>
      <w:lvlJc w:val="left"/>
      <w:pPr>
        <w:ind w:left="6480" w:hanging="360"/>
      </w:pPr>
      <w:rPr>
        <w:rFonts w:ascii="Wingdings" w:hAnsi="Wingdings" w:hint="default"/>
      </w:rPr>
    </w:lvl>
  </w:abstractNum>
  <w:abstractNum w:abstractNumId="18" w15:restartNumberingAfterBreak="0">
    <w:nsid w:val="62D125D1"/>
    <w:multiLevelType w:val="hybridMultilevel"/>
    <w:tmpl w:val="7AB04B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E0D5D0"/>
    <w:multiLevelType w:val="hybridMultilevel"/>
    <w:tmpl w:val="79669CC4"/>
    <w:lvl w:ilvl="0" w:tplc="A55E8162">
      <w:start w:val="1"/>
      <w:numFmt w:val="bullet"/>
      <w:lvlText w:val=""/>
      <w:lvlJc w:val="left"/>
      <w:pPr>
        <w:ind w:left="720" w:hanging="360"/>
      </w:pPr>
      <w:rPr>
        <w:rFonts w:ascii="Symbol" w:hAnsi="Symbol" w:hint="default"/>
      </w:rPr>
    </w:lvl>
    <w:lvl w:ilvl="1" w:tplc="2EA60832">
      <w:start w:val="1"/>
      <w:numFmt w:val="bullet"/>
      <w:lvlText w:val="o"/>
      <w:lvlJc w:val="left"/>
      <w:pPr>
        <w:ind w:left="1440" w:hanging="360"/>
      </w:pPr>
      <w:rPr>
        <w:rFonts w:ascii="Courier New" w:hAnsi="Courier New" w:hint="default"/>
      </w:rPr>
    </w:lvl>
    <w:lvl w:ilvl="2" w:tplc="DAD4732E">
      <w:start w:val="1"/>
      <w:numFmt w:val="bullet"/>
      <w:lvlText w:val=""/>
      <w:lvlJc w:val="left"/>
      <w:pPr>
        <w:ind w:left="2160" w:hanging="360"/>
      </w:pPr>
      <w:rPr>
        <w:rFonts w:ascii="Wingdings" w:hAnsi="Wingdings" w:hint="default"/>
      </w:rPr>
    </w:lvl>
    <w:lvl w:ilvl="3" w:tplc="13027F58">
      <w:start w:val="1"/>
      <w:numFmt w:val="bullet"/>
      <w:lvlText w:val=""/>
      <w:lvlJc w:val="left"/>
      <w:pPr>
        <w:ind w:left="2880" w:hanging="360"/>
      </w:pPr>
      <w:rPr>
        <w:rFonts w:ascii="Symbol" w:hAnsi="Symbol" w:hint="default"/>
      </w:rPr>
    </w:lvl>
    <w:lvl w:ilvl="4" w:tplc="B2363E64">
      <w:start w:val="1"/>
      <w:numFmt w:val="bullet"/>
      <w:lvlText w:val="o"/>
      <w:lvlJc w:val="left"/>
      <w:pPr>
        <w:ind w:left="3600" w:hanging="360"/>
      </w:pPr>
      <w:rPr>
        <w:rFonts w:ascii="Courier New" w:hAnsi="Courier New" w:hint="default"/>
      </w:rPr>
    </w:lvl>
    <w:lvl w:ilvl="5" w:tplc="ECB8F4C8">
      <w:start w:val="1"/>
      <w:numFmt w:val="bullet"/>
      <w:lvlText w:val=""/>
      <w:lvlJc w:val="left"/>
      <w:pPr>
        <w:ind w:left="4320" w:hanging="360"/>
      </w:pPr>
      <w:rPr>
        <w:rFonts w:ascii="Wingdings" w:hAnsi="Wingdings" w:hint="default"/>
      </w:rPr>
    </w:lvl>
    <w:lvl w:ilvl="6" w:tplc="46A0C544">
      <w:start w:val="1"/>
      <w:numFmt w:val="bullet"/>
      <w:lvlText w:val=""/>
      <w:lvlJc w:val="left"/>
      <w:pPr>
        <w:ind w:left="5040" w:hanging="360"/>
      </w:pPr>
      <w:rPr>
        <w:rFonts w:ascii="Symbol" w:hAnsi="Symbol" w:hint="default"/>
      </w:rPr>
    </w:lvl>
    <w:lvl w:ilvl="7" w:tplc="6AC0B5BC">
      <w:start w:val="1"/>
      <w:numFmt w:val="bullet"/>
      <w:lvlText w:val="o"/>
      <w:lvlJc w:val="left"/>
      <w:pPr>
        <w:ind w:left="5760" w:hanging="360"/>
      </w:pPr>
      <w:rPr>
        <w:rFonts w:ascii="Courier New" w:hAnsi="Courier New" w:hint="default"/>
      </w:rPr>
    </w:lvl>
    <w:lvl w:ilvl="8" w:tplc="69545124">
      <w:start w:val="1"/>
      <w:numFmt w:val="bullet"/>
      <w:lvlText w:val=""/>
      <w:lvlJc w:val="left"/>
      <w:pPr>
        <w:ind w:left="6480" w:hanging="360"/>
      </w:pPr>
      <w:rPr>
        <w:rFonts w:ascii="Wingdings" w:hAnsi="Wingdings" w:hint="default"/>
      </w:rPr>
    </w:lvl>
  </w:abstractNum>
  <w:abstractNum w:abstractNumId="20" w15:restartNumberingAfterBreak="0">
    <w:nsid w:val="7B1CD5ED"/>
    <w:multiLevelType w:val="hybridMultilevel"/>
    <w:tmpl w:val="52F4B776"/>
    <w:lvl w:ilvl="0" w:tplc="BF409E8E">
      <w:start w:val="1"/>
      <w:numFmt w:val="bullet"/>
      <w:lvlText w:val=""/>
      <w:lvlJc w:val="left"/>
      <w:pPr>
        <w:ind w:left="720" w:hanging="360"/>
      </w:pPr>
      <w:rPr>
        <w:rFonts w:ascii="Symbol" w:hAnsi="Symbol" w:hint="default"/>
      </w:rPr>
    </w:lvl>
    <w:lvl w:ilvl="1" w:tplc="58483978">
      <w:start w:val="1"/>
      <w:numFmt w:val="bullet"/>
      <w:lvlText w:val="o"/>
      <w:lvlJc w:val="left"/>
      <w:pPr>
        <w:ind w:left="1440" w:hanging="360"/>
      </w:pPr>
      <w:rPr>
        <w:rFonts w:ascii="Courier New" w:hAnsi="Courier New" w:hint="default"/>
      </w:rPr>
    </w:lvl>
    <w:lvl w:ilvl="2" w:tplc="2184409C">
      <w:start w:val="1"/>
      <w:numFmt w:val="bullet"/>
      <w:lvlText w:val=""/>
      <w:lvlJc w:val="left"/>
      <w:pPr>
        <w:ind w:left="2160" w:hanging="360"/>
      </w:pPr>
      <w:rPr>
        <w:rFonts w:ascii="Wingdings" w:hAnsi="Wingdings" w:hint="default"/>
      </w:rPr>
    </w:lvl>
    <w:lvl w:ilvl="3" w:tplc="2F5645FC">
      <w:start w:val="1"/>
      <w:numFmt w:val="bullet"/>
      <w:lvlText w:val=""/>
      <w:lvlJc w:val="left"/>
      <w:pPr>
        <w:ind w:left="2880" w:hanging="360"/>
      </w:pPr>
      <w:rPr>
        <w:rFonts w:ascii="Symbol" w:hAnsi="Symbol" w:hint="default"/>
      </w:rPr>
    </w:lvl>
    <w:lvl w:ilvl="4" w:tplc="5984A920">
      <w:start w:val="1"/>
      <w:numFmt w:val="bullet"/>
      <w:lvlText w:val="o"/>
      <w:lvlJc w:val="left"/>
      <w:pPr>
        <w:ind w:left="3600" w:hanging="360"/>
      </w:pPr>
      <w:rPr>
        <w:rFonts w:ascii="Courier New" w:hAnsi="Courier New" w:hint="default"/>
      </w:rPr>
    </w:lvl>
    <w:lvl w:ilvl="5" w:tplc="D080767A">
      <w:start w:val="1"/>
      <w:numFmt w:val="bullet"/>
      <w:lvlText w:val=""/>
      <w:lvlJc w:val="left"/>
      <w:pPr>
        <w:ind w:left="4320" w:hanging="360"/>
      </w:pPr>
      <w:rPr>
        <w:rFonts w:ascii="Wingdings" w:hAnsi="Wingdings" w:hint="default"/>
      </w:rPr>
    </w:lvl>
    <w:lvl w:ilvl="6" w:tplc="9AFE729C">
      <w:start w:val="1"/>
      <w:numFmt w:val="bullet"/>
      <w:lvlText w:val=""/>
      <w:lvlJc w:val="left"/>
      <w:pPr>
        <w:ind w:left="5040" w:hanging="360"/>
      </w:pPr>
      <w:rPr>
        <w:rFonts w:ascii="Symbol" w:hAnsi="Symbol" w:hint="default"/>
      </w:rPr>
    </w:lvl>
    <w:lvl w:ilvl="7" w:tplc="4838F71C">
      <w:start w:val="1"/>
      <w:numFmt w:val="bullet"/>
      <w:lvlText w:val="o"/>
      <w:lvlJc w:val="left"/>
      <w:pPr>
        <w:ind w:left="5760" w:hanging="360"/>
      </w:pPr>
      <w:rPr>
        <w:rFonts w:ascii="Courier New" w:hAnsi="Courier New" w:hint="default"/>
      </w:rPr>
    </w:lvl>
    <w:lvl w:ilvl="8" w:tplc="75D021B2">
      <w:start w:val="1"/>
      <w:numFmt w:val="bullet"/>
      <w:lvlText w:val=""/>
      <w:lvlJc w:val="left"/>
      <w:pPr>
        <w:ind w:left="6480" w:hanging="360"/>
      </w:pPr>
      <w:rPr>
        <w:rFonts w:ascii="Wingdings" w:hAnsi="Wingdings" w:hint="default"/>
      </w:rPr>
    </w:lvl>
  </w:abstractNum>
  <w:abstractNum w:abstractNumId="21" w15:restartNumberingAfterBreak="0">
    <w:nsid w:val="7EC2E918"/>
    <w:multiLevelType w:val="hybridMultilevel"/>
    <w:tmpl w:val="8E60900A"/>
    <w:lvl w:ilvl="0" w:tplc="64963B50">
      <w:start w:val="1"/>
      <w:numFmt w:val="bullet"/>
      <w:lvlText w:val=""/>
      <w:lvlJc w:val="left"/>
      <w:pPr>
        <w:ind w:left="720" w:hanging="360"/>
      </w:pPr>
      <w:rPr>
        <w:rFonts w:ascii="Symbol" w:hAnsi="Symbol" w:hint="default"/>
      </w:rPr>
    </w:lvl>
    <w:lvl w:ilvl="1" w:tplc="D7B013D0">
      <w:start w:val="1"/>
      <w:numFmt w:val="bullet"/>
      <w:lvlText w:val="o"/>
      <w:lvlJc w:val="left"/>
      <w:pPr>
        <w:ind w:left="1440" w:hanging="360"/>
      </w:pPr>
      <w:rPr>
        <w:rFonts w:ascii="Courier New" w:hAnsi="Courier New" w:hint="default"/>
      </w:rPr>
    </w:lvl>
    <w:lvl w:ilvl="2" w:tplc="933A821C">
      <w:start w:val="1"/>
      <w:numFmt w:val="bullet"/>
      <w:lvlText w:val=""/>
      <w:lvlJc w:val="left"/>
      <w:pPr>
        <w:ind w:left="2160" w:hanging="360"/>
      </w:pPr>
      <w:rPr>
        <w:rFonts w:ascii="Wingdings" w:hAnsi="Wingdings" w:hint="default"/>
      </w:rPr>
    </w:lvl>
    <w:lvl w:ilvl="3" w:tplc="CC182E58">
      <w:start w:val="1"/>
      <w:numFmt w:val="bullet"/>
      <w:lvlText w:val=""/>
      <w:lvlJc w:val="left"/>
      <w:pPr>
        <w:ind w:left="2880" w:hanging="360"/>
      </w:pPr>
      <w:rPr>
        <w:rFonts w:ascii="Symbol" w:hAnsi="Symbol" w:hint="default"/>
      </w:rPr>
    </w:lvl>
    <w:lvl w:ilvl="4" w:tplc="49665F7E">
      <w:start w:val="1"/>
      <w:numFmt w:val="bullet"/>
      <w:lvlText w:val="o"/>
      <w:lvlJc w:val="left"/>
      <w:pPr>
        <w:ind w:left="3600" w:hanging="360"/>
      </w:pPr>
      <w:rPr>
        <w:rFonts w:ascii="Courier New" w:hAnsi="Courier New" w:hint="default"/>
      </w:rPr>
    </w:lvl>
    <w:lvl w:ilvl="5" w:tplc="DACC7BC0">
      <w:start w:val="1"/>
      <w:numFmt w:val="bullet"/>
      <w:lvlText w:val=""/>
      <w:lvlJc w:val="left"/>
      <w:pPr>
        <w:ind w:left="4320" w:hanging="360"/>
      </w:pPr>
      <w:rPr>
        <w:rFonts w:ascii="Wingdings" w:hAnsi="Wingdings" w:hint="default"/>
      </w:rPr>
    </w:lvl>
    <w:lvl w:ilvl="6" w:tplc="EC726A02">
      <w:start w:val="1"/>
      <w:numFmt w:val="bullet"/>
      <w:lvlText w:val=""/>
      <w:lvlJc w:val="left"/>
      <w:pPr>
        <w:ind w:left="5040" w:hanging="360"/>
      </w:pPr>
      <w:rPr>
        <w:rFonts w:ascii="Symbol" w:hAnsi="Symbol" w:hint="default"/>
      </w:rPr>
    </w:lvl>
    <w:lvl w:ilvl="7" w:tplc="4CFA950E">
      <w:start w:val="1"/>
      <w:numFmt w:val="bullet"/>
      <w:lvlText w:val="o"/>
      <w:lvlJc w:val="left"/>
      <w:pPr>
        <w:ind w:left="5760" w:hanging="360"/>
      </w:pPr>
      <w:rPr>
        <w:rFonts w:ascii="Courier New" w:hAnsi="Courier New" w:hint="default"/>
      </w:rPr>
    </w:lvl>
    <w:lvl w:ilvl="8" w:tplc="B01E162E">
      <w:start w:val="1"/>
      <w:numFmt w:val="bullet"/>
      <w:lvlText w:val=""/>
      <w:lvlJc w:val="left"/>
      <w:pPr>
        <w:ind w:left="6480" w:hanging="360"/>
      </w:pPr>
      <w:rPr>
        <w:rFonts w:ascii="Wingdings" w:hAnsi="Wingdings" w:hint="default"/>
      </w:rPr>
    </w:lvl>
  </w:abstractNum>
  <w:num w:numId="1" w16cid:durableId="421533506">
    <w:abstractNumId w:val="11"/>
  </w:num>
  <w:num w:numId="2" w16cid:durableId="1279676762">
    <w:abstractNumId w:val="21"/>
  </w:num>
  <w:num w:numId="3" w16cid:durableId="201984325">
    <w:abstractNumId w:val="17"/>
  </w:num>
  <w:num w:numId="4" w16cid:durableId="832258723">
    <w:abstractNumId w:val="8"/>
  </w:num>
  <w:num w:numId="5" w16cid:durableId="1322272235">
    <w:abstractNumId w:val="3"/>
  </w:num>
  <w:num w:numId="6" w16cid:durableId="1693411769">
    <w:abstractNumId w:val="20"/>
  </w:num>
  <w:num w:numId="7" w16cid:durableId="1594318696">
    <w:abstractNumId w:val="4"/>
  </w:num>
  <w:num w:numId="8" w16cid:durableId="1706951184">
    <w:abstractNumId w:val="19"/>
  </w:num>
  <w:num w:numId="9" w16cid:durableId="628629242">
    <w:abstractNumId w:val="16"/>
  </w:num>
  <w:num w:numId="10" w16cid:durableId="22288800">
    <w:abstractNumId w:val="15"/>
  </w:num>
  <w:num w:numId="11" w16cid:durableId="2044597897">
    <w:abstractNumId w:val="12"/>
  </w:num>
  <w:num w:numId="12" w16cid:durableId="1500660105">
    <w:abstractNumId w:val="0"/>
  </w:num>
  <w:num w:numId="13" w16cid:durableId="386950136">
    <w:abstractNumId w:val="13"/>
  </w:num>
  <w:num w:numId="14" w16cid:durableId="1489975632">
    <w:abstractNumId w:val="14"/>
  </w:num>
  <w:num w:numId="15" w16cid:durableId="472019950">
    <w:abstractNumId w:val="6"/>
  </w:num>
  <w:num w:numId="16" w16cid:durableId="605503322">
    <w:abstractNumId w:val="5"/>
  </w:num>
  <w:num w:numId="17" w16cid:durableId="1597009738">
    <w:abstractNumId w:val="10"/>
  </w:num>
  <w:num w:numId="18" w16cid:durableId="1205487915">
    <w:abstractNumId w:val="1"/>
  </w:num>
  <w:num w:numId="19" w16cid:durableId="346101088">
    <w:abstractNumId w:val="18"/>
  </w:num>
  <w:num w:numId="20" w16cid:durableId="1417483062">
    <w:abstractNumId w:val="9"/>
  </w:num>
  <w:num w:numId="21" w16cid:durableId="2034259868">
    <w:abstractNumId w:val="7"/>
  </w:num>
  <w:num w:numId="22" w16cid:durableId="9866700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S0MDM1MDczMTK0NLBQ0lEKTi0uzszPAymwqAUAc+4n/ywAAAA="/>
  </w:docVars>
  <w:rsids>
    <w:rsidRoot w:val="0047033B"/>
    <w:rsid w:val="00000D55"/>
    <w:rsid w:val="00001BDE"/>
    <w:rsid w:val="0000607F"/>
    <w:rsid w:val="00006F55"/>
    <w:rsid w:val="000109CE"/>
    <w:rsid w:val="000220FD"/>
    <w:rsid w:val="00023ED9"/>
    <w:rsid w:val="00026B9D"/>
    <w:rsid w:val="00033A19"/>
    <w:rsid w:val="00034CBB"/>
    <w:rsid w:val="00040380"/>
    <w:rsid w:val="000413AD"/>
    <w:rsid w:val="00046FE2"/>
    <w:rsid w:val="00047E0F"/>
    <w:rsid w:val="00051BB3"/>
    <w:rsid w:val="00052F58"/>
    <w:rsid w:val="00052FED"/>
    <w:rsid w:val="00054F6F"/>
    <w:rsid w:val="00055CB1"/>
    <w:rsid w:val="00065529"/>
    <w:rsid w:val="000655B0"/>
    <w:rsid w:val="00065E0A"/>
    <w:rsid w:val="00071DF3"/>
    <w:rsid w:val="00076CBB"/>
    <w:rsid w:val="00081FE8"/>
    <w:rsid w:val="0008422E"/>
    <w:rsid w:val="00085654"/>
    <w:rsid w:val="00091F2F"/>
    <w:rsid w:val="00092354"/>
    <w:rsid w:val="00094ED2"/>
    <w:rsid w:val="000A01F1"/>
    <w:rsid w:val="000A1AB0"/>
    <w:rsid w:val="000A7323"/>
    <w:rsid w:val="000B044C"/>
    <w:rsid w:val="000B6FDA"/>
    <w:rsid w:val="000C3EB8"/>
    <w:rsid w:val="000C6B10"/>
    <w:rsid w:val="000D7205"/>
    <w:rsid w:val="000D734F"/>
    <w:rsid w:val="000D779B"/>
    <w:rsid w:val="000E006A"/>
    <w:rsid w:val="000E22B3"/>
    <w:rsid w:val="000E22E4"/>
    <w:rsid w:val="000E2BF1"/>
    <w:rsid w:val="000E2FBC"/>
    <w:rsid w:val="000E3F5F"/>
    <w:rsid w:val="000E4B1B"/>
    <w:rsid w:val="000E7F68"/>
    <w:rsid w:val="001005FA"/>
    <w:rsid w:val="00101708"/>
    <w:rsid w:val="0010785B"/>
    <w:rsid w:val="0011043D"/>
    <w:rsid w:val="001126DC"/>
    <w:rsid w:val="00112D86"/>
    <w:rsid w:val="00112FC1"/>
    <w:rsid w:val="00114224"/>
    <w:rsid w:val="001154CF"/>
    <w:rsid w:val="001160A7"/>
    <w:rsid w:val="00116E28"/>
    <w:rsid w:val="00122453"/>
    <w:rsid w:val="00132D56"/>
    <w:rsid w:val="00133024"/>
    <w:rsid w:val="00134F32"/>
    <w:rsid w:val="00141899"/>
    <w:rsid w:val="00144C34"/>
    <w:rsid w:val="001610AB"/>
    <w:rsid w:val="00161602"/>
    <w:rsid w:val="00162DE5"/>
    <w:rsid w:val="0016372D"/>
    <w:rsid w:val="00163D9B"/>
    <w:rsid w:val="00164270"/>
    <w:rsid w:val="0016481A"/>
    <w:rsid w:val="00164835"/>
    <w:rsid w:val="0017123E"/>
    <w:rsid w:val="0017309E"/>
    <w:rsid w:val="00177F8E"/>
    <w:rsid w:val="00181C89"/>
    <w:rsid w:val="00181DDF"/>
    <w:rsid w:val="0018231D"/>
    <w:rsid w:val="00184697"/>
    <w:rsid w:val="0018CEB5"/>
    <w:rsid w:val="00191627"/>
    <w:rsid w:val="00192AAA"/>
    <w:rsid w:val="0019484B"/>
    <w:rsid w:val="00195FF4"/>
    <w:rsid w:val="001A1C3D"/>
    <w:rsid w:val="001A1D11"/>
    <w:rsid w:val="001A25DB"/>
    <w:rsid w:val="001A44E7"/>
    <w:rsid w:val="001B08BD"/>
    <w:rsid w:val="001B33E9"/>
    <w:rsid w:val="001B65CC"/>
    <w:rsid w:val="001B69FC"/>
    <w:rsid w:val="001C1307"/>
    <w:rsid w:val="001C514B"/>
    <w:rsid w:val="001C6BB0"/>
    <w:rsid w:val="001C6C8A"/>
    <w:rsid w:val="001D7348"/>
    <w:rsid w:val="001D7758"/>
    <w:rsid w:val="001F0F53"/>
    <w:rsid w:val="001F4EC8"/>
    <w:rsid w:val="00200E50"/>
    <w:rsid w:val="00201D4D"/>
    <w:rsid w:val="002137CD"/>
    <w:rsid w:val="002161BB"/>
    <w:rsid w:val="00222C79"/>
    <w:rsid w:val="00226BE5"/>
    <w:rsid w:val="002272F7"/>
    <w:rsid w:val="002279A1"/>
    <w:rsid w:val="0023121B"/>
    <w:rsid w:val="00231B7F"/>
    <w:rsid w:val="0023244A"/>
    <w:rsid w:val="00233E0D"/>
    <w:rsid w:val="00241F93"/>
    <w:rsid w:val="00247DF5"/>
    <w:rsid w:val="00252110"/>
    <w:rsid w:val="00254005"/>
    <w:rsid w:val="0025697E"/>
    <w:rsid w:val="00256CFD"/>
    <w:rsid w:val="0026047A"/>
    <w:rsid w:val="0026730C"/>
    <w:rsid w:val="00274197"/>
    <w:rsid w:val="00274290"/>
    <w:rsid w:val="00274627"/>
    <w:rsid w:val="00275BC4"/>
    <w:rsid w:val="00282D45"/>
    <w:rsid w:val="00284ABF"/>
    <w:rsid w:val="002854D5"/>
    <w:rsid w:val="00290643"/>
    <w:rsid w:val="00291043"/>
    <w:rsid w:val="00294403"/>
    <w:rsid w:val="00294830"/>
    <w:rsid w:val="002954C2"/>
    <w:rsid w:val="002A1AA1"/>
    <w:rsid w:val="002A1EAB"/>
    <w:rsid w:val="002B7619"/>
    <w:rsid w:val="002B7914"/>
    <w:rsid w:val="002C14DC"/>
    <w:rsid w:val="002C4636"/>
    <w:rsid w:val="002C4DBB"/>
    <w:rsid w:val="002C5A2C"/>
    <w:rsid w:val="002C6939"/>
    <w:rsid w:val="002D5548"/>
    <w:rsid w:val="002D5A9A"/>
    <w:rsid w:val="002D7D5E"/>
    <w:rsid w:val="002E20B2"/>
    <w:rsid w:val="002E3260"/>
    <w:rsid w:val="002F54A8"/>
    <w:rsid w:val="002F5F00"/>
    <w:rsid w:val="00301E32"/>
    <w:rsid w:val="0030232C"/>
    <w:rsid w:val="00303C2F"/>
    <w:rsid w:val="003143BF"/>
    <w:rsid w:val="00317614"/>
    <w:rsid w:val="00320145"/>
    <w:rsid w:val="003203EF"/>
    <w:rsid w:val="00322ACC"/>
    <w:rsid w:val="00324888"/>
    <w:rsid w:val="00330BDB"/>
    <w:rsid w:val="003321B9"/>
    <w:rsid w:val="0034291D"/>
    <w:rsid w:val="00342F3A"/>
    <w:rsid w:val="00342F53"/>
    <w:rsid w:val="00342F59"/>
    <w:rsid w:val="003448D3"/>
    <w:rsid w:val="00345084"/>
    <w:rsid w:val="00353EF3"/>
    <w:rsid w:val="00354A2E"/>
    <w:rsid w:val="00355367"/>
    <w:rsid w:val="00357129"/>
    <w:rsid w:val="003577A7"/>
    <w:rsid w:val="00363242"/>
    <w:rsid w:val="00366200"/>
    <w:rsid w:val="00366E29"/>
    <w:rsid w:val="0037051E"/>
    <w:rsid w:val="0037756F"/>
    <w:rsid w:val="003803AA"/>
    <w:rsid w:val="00380A09"/>
    <w:rsid w:val="00383009"/>
    <w:rsid w:val="00386099"/>
    <w:rsid w:val="0038676A"/>
    <w:rsid w:val="00386897"/>
    <w:rsid w:val="00390636"/>
    <w:rsid w:val="0039117F"/>
    <w:rsid w:val="00393DAF"/>
    <w:rsid w:val="00394757"/>
    <w:rsid w:val="00395A0D"/>
    <w:rsid w:val="00396906"/>
    <w:rsid w:val="00397AD3"/>
    <w:rsid w:val="003A03EE"/>
    <w:rsid w:val="003A0832"/>
    <w:rsid w:val="003A0EB8"/>
    <w:rsid w:val="003A1BC9"/>
    <w:rsid w:val="003A3F65"/>
    <w:rsid w:val="003B5D0C"/>
    <w:rsid w:val="003B72A0"/>
    <w:rsid w:val="003C41E3"/>
    <w:rsid w:val="003C4AD6"/>
    <w:rsid w:val="003D04A5"/>
    <w:rsid w:val="003D3EB5"/>
    <w:rsid w:val="003D43AB"/>
    <w:rsid w:val="003D5C95"/>
    <w:rsid w:val="003D5FC8"/>
    <w:rsid w:val="003E251B"/>
    <w:rsid w:val="003E3CF6"/>
    <w:rsid w:val="003E6E1E"/>
    <w:rsid w:val="003E7B55"/>
    <w:rsid w:val="003F0D80"/>
    <w:rsid w:val="003F334D"/>
    <w:rsid w:val="003F4696"/>
    <w:rsid w:val="003F4E0D"/>
    <w:rsid w:val="00404119"/>
    <w:rsid w:val="004110C9"/>
    <w:rsid w:val="00411A62"/>
    <w:rsid w:val="004237D5"/>
    <w:rsid w:val="00436FC4"/>
    <w:rsid w:val="004378FE"/>
    <w:rsid w:val="00441062"/>
    <w:rsid w:val="004425B9"/>
    <w:rsid w:val="00442F5E"/>
    <w:rsid w:val="00447EA9"/>
    <w:rsid w:val="00451B39"/>
    <w:rsid w:val="00454818"/>
    <w:rsid w:val="004558CC"/>
    <w:rsid w:val="00462939"/>
    <w:rsid w:val="00464C0B"/>
    <w:rsid w:val="00465B3D"/>
    <w:rsid w:val="0047033B"/>
    <w:rsid w:val="00475093"/>
    <w:rsid w:val="00475779"/>
    <w:rsid w:val="0047749D"/>
    <w:rsid w:val="00477B47"/>
    <w:rsid w:val="00480042"/>
    <w:rsid w:val="00483F5C"/>
    <w:rsid w:val="0048673C"/>
    <w:rsid w:val="00486D9F"/>
    <w:rsid w:val="00490062"/>
    <w:rsid w:val="00491BA6"/>
    <w:rsid w:val="00493B9F"/>
    <w:rsid w:val="004A5542"/>
    <w:rsid w:val="004B1171"/>
    <w:rsid w:val="004B5D8D"/>
    <w:rsid w:val="004B6700"/>
    <w:rsid w:val="004B6AFC"/>
    <w:rsid w:val="004B6B2D"/>
    <w:rsid w:val="004B6C83"/>
    <w:rsid w:val="004C16C1"/>
    <w:rsid w:val="004C1E65"/>
    <w:rsid w:val="004C7A23"/>
    <w:rsid w:val="004D0203"/>
    <w:rsid w:val="004D0254"/>
    <w:rsid w:val="004D3BA3"/>
    <w:rsid w:val="004E0195"/>
    <w:rsid w:val="00505B15"/>
    <w:rsid w:val="00511A61"/>
    <w:rsid w:val="005204DD"/>
    <w:rsid w:val="00521660"/>
    <w:rsid w:val="00524A85"/>
    <w:rsid w:val="00525E07"/>
    <w:rsid w:val="00525EB3"/>
    <w:rsid w:val="00532E0C"/>
    <w:rsid w:val="00537826"/>
    <w:rsid w:val="00547162"/>
    <w:rsid w:val="0054757F"/>
    <w:rsid w:val="00550158"/>
    <w:rsid w:val="00551244"/>
    <w:rsid w:val="00554F7E"/>
    <w:rsid w:val="00555B29"/>
    <w:rsid w:val="00555F8F"/>
    <w:rsid w:val="00556BD3"/>
    <w:rsid w:val="00556F0E"/>
    <w:rsid w:val="005573C3"/>
    <w:rsid w:val="00557552"/>
    <w:rsid w:val="00564CC6"/>
    <w:rsid w:val="005653CB"/>
    <w:rsid w:val="00565FB9"/>
    <w:rsid w:val="0056688F"/>
    <w:rsid w:val="00571110"/>
    <w:rsid w:val="005756E5"/>
    <w:rsid w:val="00577829"/>
    <w:rsid w:val="00581D98"/>
    <w:rsid w:val="00582664"/>
    <w:rsid w:val="00583C49"/>
    <w:rsid w:val="00585968"/>
    <w:rsid w:val="00594518"/>
    <w:rsid w:val="00595C53"/>
    <w:rsid w:val="00596B4C"/>
    <w:rsid w:val="005A1D5E"/>
    <w:rsid w:val="005A3037"/>
    <w:rsid w:val="005A4268"/>
    <w:rsid w:val="005A6EC7"/>
    <w:rsid w:val="005B015C"/>
    <w:rsid w:val="005B0CA8"/>
    <w:rsid w:val="005B4416"/>
    <w:rsid w:val="005B4DAE"/>
    <w:rsid w:val="005C3BD8"/>
    <w:rsid w:val="005C7208"/>
    <w:rsid w:val="005D6043"/>
    <w:rsid w:val="005E0054"/>
    <w:rsid w:val="005E3362"/>
    <w:rsid w:val="005F324A"/>
    <w:rsid w:val="00602D59"/>
    <w:rsid w:val="006110B8"/>
    <w:rsid w:val="00614C0F"/>
    <w:rsid w:val="006168D0"/>
    <w:rsid w:val="00620A24"/>
    <w:rsid w:val="00622A34"/>
    <w:rsid w:val="00622B96"/>
    <w:rsid w:val="006258F3"/>
    <w:rsid w:val="0062695E"/>
    <w:rsid w:val="006278C2"/>
    <w:rsid w:val="00632CAB"/>
    <w:rsid w:val="00643F5C"/>
    <w:rsid w:val="00643F6A"/>
    <w:rsid w:val="00644C9E"/>
    <w:rsid w:val="00646CE5"/>
    <w:rsid w:val="00654D9D"/>
    <w:rsid w:val="00661C77"/>
    <w:rsid w:val="006646D4"/>
    <w:rsid w:val="00667368"/>
    <w:rsid w:val="00671465"/>
    <w:rsid w:val="006774D3"/>
    <w:rsid w:val="00680590"/>
    <w:rsid w:val="00680A57"/>
    <w:rsid w:val="00681056"/>
    <w:rsid w:val="0068218E"/>
    <w:rsid w:val="00682658"/>
    <w:rsid w:val="00685951"/>
    <w:rsid w:val="00685BA2"/>
    <w:rsid w:val="00686897"/>
    <w:rsid w:val="00686D09"/>
    <w:rsid w:val="00687173"/>
    <w:rsid w:val="00687A9C"/>
    <w:rsid w:val="00687AD4"/>
    <w:rsid w:val="00690DCC"/>
    <w:rsid w:val="00691FAF"/>
    <w:rsid w:val="006932DD"/>
    <w:rsid w:val="00696977"/>
    <w:rsid w:val="00696FC7"/>
    <w:rsid w:val="006A1053"/>
    <w:rsid w:val="006A53F2"/>
    <w:rsid w:val="006A6374"/>
    <w:rsid w:val="006A64EE"/>
    <w:rsid w:val="006A65C3"/>
    <w:rsid w:val="006B106C"/>
    <w:rsid w:val="006B54CE"/>
    <w:rsid w:val="006C22EA"/>
    <w:rsid w:val="006C4003"/>
    <w:rsid w:val="006C57DD"/>
    <w:rsid w:val="006C64B8"/>
    <w:rsid w:val="006C6860"/>
    <w:rsid w:val="006D1973"/>
    <w:rsid w:val="006D2345"/>
    <w:rsid w:val="006D2E3C"/>
    <w:rsid w:val="006D37FB"/>
    <w:rsid w:val="006D4983"/>
    <w:rsid w:val="006E2754"/>
    <w:rsid w:val="006F2959"/>
    <w:rsid w:val="006F5DCB"/>
    <w:rsid w:val="00700574"/>
    <w:rsid w:val="00705E89"/>
    <w:rsid w:val="007163A5"/>
    <w:rsid w:val="007212E9"/>
    <w:rsid w:val="00721C99"/>
    <w:rsid w:val="00723461"/>
    <w:rsid w:val="00733977"/>
    <w:rsid w:val="007354B3"/>
    <w:rsid w:val="00746CE7"/>
    <w:rsid w:val="0075296D"/>
    <w:rsid w:val="00752ABA"/>
    <w:rsid w:val="007535BA"/>
    <w:rsid w:val="00754E88"/>
    <w:rsid w:val="0076053D"/>
    <w:rsid w:val="00762D5F"/>
    <w:rsid w:val="00763965"/>
    <w:rsid w:val="007659CF"/>
    <w:rsid w:val="00766C53"/>
    <w:rsid w:val="00777298"/>
    <w:rsid w:val="007815AB"/>
    <w:rsid w:val="00781723"/>
    <w:rsid w:val="00785572"/>
    <w:rsid w:val="00786740"/>
    <w:rsid w:val="00786A71"/>
    <w:rsid w:val="007907F2"/>
    <w:rsid w:val="007912F4"/>
    <w:rsid w:val="0079203A"/>
    <w:rsid w:val="007934D2"/>
    <w:rsid w:val="00795B1E"/>
    <w:rsid w:val="00797BD6"/>
    <w:rsid w:val="007A1520"/>
    <w:rsid w:val="007A1DD9"/>
    <w:rsid w:val="007A4D41"/>
    <w:rsid w:val="007A761F"/>
    <w:rsid w:val="007B3735"/>
    <w:rsid w:val="007B4CC3"/>
    <w:rsid w:val="007B5219"/>
    <w:rsid w:val="007B5717"/>
    <w:rsid w:val="007C046A"/>
    <w:rsid w:val="007C3680"/>
    <w:rsid w:val="007C733A"/>
    <w:rsid w:val="007D0916"/>
    <w:rsid w:val="007D3620"/>
    <w:rsid w:val="007E1D76"/>
    <w:rsid w:val="007E6CDA"/>
    <w:rsid w:val="007F18D9"/>
    <w:rsid w:val="007F57B6"/>
    <w:rsid w:val="007F58F2"/>
    <w:rsid w:val="00800A67"/>
    <w:rsid w:val="008024A5"/>
    <w:rsid w:val="00804271"/>
    <w:rsid w:val="00806848"/>
    <w:rsid w:val="00817CCB"/>
    <w:rsid w:val="00823D79"/>
    <w:rsid w:val="00823E04"/>
    <w:rsid w:val="00837499"/>
    <w:rsid w:val="00841E10"/>
    <w:rsid w:val="00842B1F"/>
    <w:rsid w:val="0084441D"/>
    <w:rsid w:val="00846666"/>
    <w:rsid w:val="008471E4"/>
    <w:rsid w:val="00847C5B"/>
    <w:rsid w:val="00850B96"/>
    <w:rsid w:val="00854C50"/>
    <w:rsid w:val="008651D2"/>
    <w:rsid w:val="00865838"/>
    <w:rsid w:val="00874688"/>
    <w:rsid w:val="00876EED"/>
    <w:rsid w:val="00877717"/>
    <w:rsid w:val="0088621D"/>
    <w:rsid w:val="0088628C"/>
    <w:rsid w:val="008901BC"/>
    <w:rsid w:val="0089077A"/>
    <w:rsid w:val="00891818"/>
    <w:rsid w:val="00894213"/>
    <w:rsid w:val="008965FF"/>
    <w:rsid w:val="008A3375"/>
    <w:rsid w:val="008A785A"/>
    <w:rsid w:val="008B0A5C"/>
    <w:rsid w:val="008B6F16"/>
    <w:rsid w:val="008C0252"/>
    <w:rsid w:val="008C2FCF"/>
    <w:rsid w:val="008C7024"/>
    <w:rsid w:val="008C75EF"/>
    <w:rsid w:val="008D35F6"/>
    <w:rsid w:val="008D4635"/>
    <w:rsid w:val="008D66A0"/>
    <w:rsid w:val="008E4604"/>
    <w:rsid w:val="008E5B70"/>
    <w:rsid w:val="008E6FC1"/>
    <w:rsid w:val="008F3B89"/>
    <w:rsid w:val="008F4665"/>
    <w:rsid w:val="008F6013"/>
    <w:rsid w:val="008F69F6"/>
    <w:rsid w:val="008F6BB4"/>
    <w:rsid w:val="008F76FD"/>
    <w:rsid w:val="008F7EF5"/>
    <w:rsid w:val="009145C3"/>
    <w:rsid w:val="00914FF0"/>
    <w:rsid w:val="00915546"/>
    <w:rsid w:val="009169B5"/>
    <w:rsid w:val="00917A3C"/>
    <w:rsid w:val="00920ACF"/>
    <w:rsid w:val="00935DFB"/>
    <w:rsid w:val="00936278"/>
    <w:rsid w:val="00937894"/>
    <w:rsid w:val="00942A76"/>
    <w:rsid w:val="00946AC5"/>
    <w:rsid w:val="0095048E"/>
    <w:rsid w:val="00951ED0"/>
    <w:rsid w:val="009533B3"/>
    <w:rsid w:val="009622D8"/>
    <w:rsid w:val="009645E0"/>
    <w:rsid w:val="00966477"/>
    <w:rsid w:val="00974478"/>
    <w:rsid w:val="00974863"/>
    <w:rsid w:val="009760D1"/>
    <w:rsid w:val="00985710"/>
    <w:rsid w:val="00986765"/>
    <w:rsid w:val="009872A2"/>
    <w:rsid w:val="00987F1E"/>
    <w:rsid w:val="00991888"/>
    <w:rsid w:val="00993214"/>
    <w:rsid w:val="009963AB"/>
    <w:rsid w:val="00996A04"/>
    <w:rsid w:val="009A3EFF"/>
    <w:rsid w:val="009A5AD0"/>
    <w:rsid w:val="009B1F98"/>
    <w:rsid w:val="009B1FAB"/>
    <w:rsid w:val="009C045D"/>
    <w:rsid w:val="009C0CE5"/>
    <w:rsid w:val="009C21BA"/>
    <w:rsid w:val="009D254A"/>
    <w:rsid w:val="009D5E79"/>
    <w:rsid w:val="009D6756"/>
    <w:rsid w:val="009D69C6"/>
    <w:rsid w:val="009E05C6"/>
    <w:rsid w:val="009E1FF2"/>
    <w:rsid w:val="009E724B"/>
    <w:rsid w:val="009F59A4"/>
    <w:rsid w:val="00A03D9D"/>
    <w:rsid w:val="00A20134"/>
    <w:rsid w:val="00A21A92"/>
    <w:rsid w:val="00A23336"/>
    <w:rsid w:val="00A26943"/>
    <w:rsid w:val="00A31D75"/>
    <w:rsid w:val="00A33154"/>
    <w:rsid w:val="00A33197"/>
    <w:rsid w:val="00A34F0D"/>
    <w:rsid w:val="00A352B6"/>
    <w:rsid w:val="00A4125B"/>
    <w:rsid w:val="00A44512"/>
    <w:rsid w:val="00A44878"/>
    <w:rsid w:val="00A44CE3"/>
    <w:rsid w:val="00A465D8"/>
    <w:rsid w:val="00A46CD6"/>
    <w:rsid w:val="00A4747A"/>
    <w:rsid w:val="00A47BB2"/>
    <w:rsid w:val="00A540DA"/>
    <w:rsid w:val="00A55E91"/>
    <w:rsid w:val="00A671C3"/>
    <w:rsid w:val="00A672BE"/>
    <w:rsid w:val="00A77E97"/>
    <w:rsid w:val="00A87EA9"/>
    <w:rsid w:val="00A916B1"/>
    <w:rsid w:val="00A91EA4"/>
    <w:rsid w:val="00A94485"/>
    <w:rsid w:val="00AA0B9C"/>
    <w:rsid w:val="00AA1324"/>
    <w:rsid w:val="00AA146B"/>
    <w:rsid w:val="00AA1B05"/>
    <w:rsid w:val="00AA64A2"/>
    <w:rsid w:val="00AA76EC"/>
    <w:rsid w:val="00AB3FCE"/>
    <w:rsid w:val="00AC123A"/>
    <w:rsid w:val="00AC14DF"/>
    <w:rsid w:val="00AC2357"/>
    <w:rsid w:val="00AC4D9C"/>
    <w:rsid w:val="00AC5E57"/>
    <w:rsid w:val="00AD0564"/>
    <w:rsid w:val="00AD1461"/>
    <w:rsid w:val="00AD5463"/>
    <w:rsid w:val="00AE0556"/>
    <w:rsid w:val="00AE658A"/>
    <w:rsid w:val="00AF0C4B"/>
    <w:rsid w:val="00AF4271"/>
    <w:rsid w:val="00AF458F"/>
    <w:rsid w:val="00AF54A1"/>
    <w:rsid w:val="00AF588E"/>
    <w:rsid w:val="00AF5CAB"/>
    <w:rsid w:val="00AF635B"/>
    <w:rsid w:val="00AF6600"/>
    <w:rsid w:val="00AF7E0C"/>
    <w:rsid w:val="00B03DEF"/>
    <w:rsid w:val="00B04D60"/>
    <w:rsid w:val="00B0562F"/>
    <w:rsid w:val="00B1059C"/>
    <w:rsid w:val="00B16D5D"/>
    <w:rsid w:val="00B21173"/>
    <w:rsid w:val="00B26A52"/>
    <w:rsid w:val="00B27FF5"/>
    <w:rsid w:val="00B314EE"/>
    <w:rsid w:val="00B37542"/>
    <w:rsid w:val="00B4143B"/>
    <w:rsid w:val="00B474C9"/>
    <w:rsid w:val="00B50B75"/>
    <w:rsid w:val="00B5667B"/>
    <w:rsid w:val="00B61784"/>
    <w:rsid w:val="00B63245"/>
    <w:rsid w:val="00B64410"/>
    <w:rsid w:val="00B64FEA"/>
    <w:rsid w:val="00B6528E"/>
    <w:rsid w:val="00B700F4"/>
    <w:rsid w:val="00B70314"/>
    <w:rsid w:val="00B71DB0"/>
    <w:rsid w:val="00B74477"/>
    <w:rsid w:val="00B82AF0"/>
    <w:rsid w:val="00B86EC4"/>
    <w:rsid w:val="00B877E5"/>
    <w:rsid w:val="00B91C72"/>
    <w:rsid w:val="00B93FF3"/>
    <w:rsid w:val="00B94312"/>
    <w:rsid w:val="00B954F1"/>
    <w:rsid w:val="00BA0D8C"/>
    <w:rsid w:val="00BA5EC0"/>
    <w:rsid w:val="00BA6864"/>
    <w:rsid w:val="00BA7192"/>
    <w:rsid w:val="00BB5833"/>
    <w:rsid w:val="00BB6979"/>
    <w:rsid w:val="00BC2746"/>
    <w:rsid w:val="00BC2C33"/>
    <w:rsid w:val="00BC32DB"/>
    <w:rsid w:val="00BC5E54"/>
    <w:rsid w:val="00BC7588"/>
    <w:rsid w:val="00BD0565"/>
    <w:rsid w:val="00BD32E5"/>
    <w:rsid w:val="00BD7177"/>
    <w:rsid w:val="00BE06D1"/>
    <w:rsid w:val="00BE3571"/>
    <w:rsid w:val="00BE654D"/>
    <w:rsid w:val="00BE87CF"/>
    <w:rsid w:val="00BF4758"/>
    <w:rsid w:val="00BF6D88"/>
    <w:rsid w:val="00BF7F49"/>
    <w:rsid w:val="00C011DC"/>
    <w:rsid w:val="00C0260C"/>
    <w:rsid w:val="00C0554E"/>
    <w:rsid w:val="00C0598B"/>
    <w:rsid w:val="00C069C2"/>
    <w:rsid w:val="00C07AEF"/>
    <w:rsid w:val="00C13767"/>
    <w:rsid w:val="00C152D1"/>
    <w:rsid w:val="00C20551"/>
    <w:rsid w:val="00C27A26"/>
    <w:rsid w:val="00C31CEF"/>
    <w:rsid w:val="00C43D25"/>
    <w:rsid w:val="00C448E2"/>
    <w:rsid w:val="00C46910"/>
    <w:rsid w:val="00C54CEB"/>
    <w:rsid w:val="00C625A0"/>
    <w:rsid w:val="00C63CB4"/>
    <w:rsid w:val="00C6577F"/>
    <w:rsid w:val="00C732C7"/>
    <w:rsid w:val="00C73A16"/>
    <w:rsid w:val="00C76302"/>
    <w:rsid w:val="00C76421"/>
    <w:rsid w:val="00C77055"/>
    <w:rsid w:val="00C844FB"/>
    <w:rsid w:val="00C850E2"/>
    <w:rsid w:val="00C877C4"/>
    <w:rsid w:val="00C93497"/>
    <w:rsid w:val="00C95E8C"/>
    <w:rsid w:val="00C962E2"/>
    <w:rsid w:val="00CA0327"/>
    <w:rsid w:val="00CA1C57"/>
    <w:rsid w:val="00CA64A1"/>
    <w:rsid w:val="00CB2DF2"/>
    <w:rsid w:val="00CB2EE1"/>
    <w:rsid w:val="00CB46B3"/>
    <w:rsid w:val="00CB79C7"/>
    <w:rsid w:val="00CC2ADB"/>
    <w:rsid w:val="00CD194A"/>
    <w:rsid w:val="00CD1C02"/>
    <w:rsid w:val="00CD461E"/>
    <w:rsid w:val="00CD6594"/>
    <w:rsid w:val="00CD6E0C"/>
    <w:rsid w:val="00CE0109"/>
    <w:rsid w:val="00CE2A3D"/>
    <w:rsid w:val="00CE2BAB"/>
    <w:rsid w:val="00CE36FE"/>
    <w:rsid w:val="00CE3A48"/>
    <w:rsid w:val="00CE5554"/>
    <w:rsid w:val="00CE7982"/>
    <w:rsid w:val="00CF1B90"/>
    <w:rsid w:val="00CF2C1C"/>
    <w:rsid w:val="00CF4323"/>
    <w:rsid w:val="00CF4805"/>
    <w:rsid w:val="00CF72E6"/>
    <w:rsid w:val="00D05427"/>
    <w:rsid w:val="00D120D6"/>
    <w:rsid w:val="00D15690"/>
    <w:rsid w:val="00D15ECF"/>
    <w:rsid w:val="00D21F6C"/>
    <w:rsid w:val="00D2484D"/>
    <w:rsid w:val="00D264F0"/>
    <w:rsid w:val="00D26CDF"/>
    <w:rsid w:val="00D31222"/>
    <w:rsid w:val="00D31EE7"/>
    <w:rsid w:val="00D34635"/>
    <w:rsid w:val="00D43251"/>
    <w:rsid w:val="00D45EA7"/>
    <w:rsid w:val="00D57914"/>
    <w:rsid w:val="00D57C31"/>
    <w:rsid w:val="00D61DE7"/>
    <w:rsid w:val="00D61E7B"/>
    <w:rsid w:val="00D62157"/>
    <w:rsid w:val="00D70C46"/>
    <w:rsid w:val="00D7229D"/>
    <w:rsid w:val="00D7323A"/>
    <w:rsid w:val="00D73728"/>
    <w:rsid w:val="00D747A4"/>
    <w:rsid w:val="00D74E18"/>
    <w:rsid w:val="00D768C5"/>
    <w:rsid w:val="00D822E4"/>
    <w:rsid w:val="00D83E30"/>
    <w:rsid w:val="00D84C2B"/>
    <w:rsid w:val="00D92EFD"/>
    <w:rsid w:val="00D96148"/>
    <w:rsid w:val="00DB0061"/>
    <w:rsid w:val="00DB2ABC"/>
    <w:rsid w:val="00DB3CF8"/>
    <w:rsid w:val="00DB48FA"/>
    <w:rsid w:val="00DB4AC8"/>
    <w:rsid w:val="00DB5685"/>
    <w:rsid w:val="00DC3C8A"/>
    <w:rsid w:val="00DC4EEE"/>
    <w:rsid w:val="00DC5C50"/>
    <w:rsid w:val="00DC7E0F"/>
    <w:rsid w:val="00DD7216"/>
    <w:rsid w:val="00DE0012"/>
    <w:rsid w:val="00DE0FAA"/>
    <w:rsid w:val="00DE1629"/>
    <w:rsid w:val="00DE5DEA"/>
    <w:rsid w:val="00DF022A"/>
    <w:rsid w:val="00DF2B12"/>
    <w:rsid w:val="00DF36C7"/>
    <w:rsid w:val="00DF39B2"/>
    <w:rsid w:val="00DF6E2B"/>
    <w:rsid w:val="00E0083D"/>
    <w:rsid w:val="00E0214E"/>
    <w:rsid w:val="00E0380B"/>
    <w:rsid w:val="00E07518"/>
    <w:rsid w:val="00E076C9"/>
    <w:rsid w:val="00E077CE"/>
    <w:rsid w:val="00E13E46"/>
    <w:rsid w:val="00E1550B"/>
    <w:rsid w:val="00E159A7"/>
    <w:rsid w:val="00E17055"/>
    <w:rsid w:val="00E213E3"/>
    <w:rsid w:val="00E21CD4"/>
    <w:rsid w:val="00E24AC2"/>
    <w:rsid w:val="00E32F6A"/>
    <w:rsid w:val="00E5316C"/>
    <w:rsid w:val="00E545E3"/>
    <w:rsid w:val="00E57F41"/>
    <w:rsid w:val="00E6036A"/>
    <w:rsid w:val="00E61CF0"/>
    <w:rsid w:val="00E62997"/>
    <w:rsid w:val="00E6475E"/>
    <w:rsid w:val="00E70BBB"/>
    <w:rsid w:val="00E740BE"/>
    <w:rsid w:val="00E81CF5"/>
    <w:rsid w:val="00E84768"/>
    <w:rsid w:val="00E92CEB"/>
    <w:rsid w:val="00E93759"/>
    <w:rsid w:val="00E96F37"/>
    <w:rsid w:val="00E97F81"/>
    <w:rsid w:val="00EA1C75"/>
    <w:rsid w:val="00EA2BB7"/>
    <w:rsid w:val="00EA4017"/>
    <w:rsid w:val="00EA6E0A"/>
    <w:rsid w:val="00EB1061"/>
    <w:rsid w:val="00EB159C"/>
    <w:rsid w:val="00EB2FC0"/>
    <w:rsid w:val="00EB503F"/>
    <w:rsid w:val="00EB5536"/>
    <w:rsid w:val="00EC0E8A"/>
    <w:rsid w:val="00EC2AAA"/>
    <w:rsid w:val="00EC34EA"/>
    <w:rsid w:val="00EC45D9"/>
    <w:rsid w:val="00ED35A3"/>
    <w:rsid w:val="00ED43E0"/>
    <w:rsid w:val="00ED5363"/>
    <w:rsid w:val="00ED6416"/>
    <w:rsid w:val="00EE1815"/>
    <w:rsid w:val="00EE3E13"/>
    <w:rsid w:val="00EE5E96"/>
    <w:rsid w:val="00EE7B27"/>
    <w:rsid w:val="00EE7E4A"/>
    <w:rsid w:val="00EE7F34"/>
    <w:rsid w:val="00EF4ECF"/>
    <w:rsid w:val="00EF6953"/>
    <w:rsid w:val="00F01255"/>
    <w:rsid w:val="00F03E38"/>
    <w:rsid w:val="00F1079B"/>
    <w:rsid w:val="00F1151D"/>
    <w:rsid w:val="00F14801"/>
    <w:rsid w:val="00F17684"/>
    <w:rsid w:val="00F22561"/>
    <w:rsid w:val="00F2293A"/>
    <w:rsid w:val="00F231CC"/>
    <w:rsid w:val="00F23686"/>
    <w:rsid w:val="00F2372E"/>
    <w:rsid w:val="00F256E1"/>
    <w:rsid w:val="00F258F6"/>
    <w:rsid w:val="00F27306"/>
    <w:rsid w:val="00F30FA1"/>
    <w:rsid w:val="00F3109C"/>
    <w:rsid w:val="00F34102"/>
    <w:rsid w:val="00F353EB"/>
    <w:rsid w:val="00F355CF"/>
    <w:rsid w:val="00F36307"/>
    <w:rsid w:val="00F36BC3"/>
    <w:rsid w:val="00F37ADF"/>
    <w:rsid w:val="00F42DAA"/>
    <w:rsid w:val="00F44219"/>
    <w:rsid w:val="00F4628C"/>
    <w:rsid w:val="00F472D6"/>
    <w:rsid w:val="00F508AB"/>
    <w:rsid w:val="00F5322A"/>
    <w:rsid w:val="00F612FE"/>
    <w:rsid w:val="00F61983"/>
    <w:rsid w:val="00F61CE0"/>
    <w:rsid w:val="00F701CE"/>
    <w:rsid w:val="00F70FFE"/>
    <w:rsid w:val="00F72218"/>
    <w:rsid w:val="00F73A87"/>
    <w:rsid w:val="00F73ECB"/>
    <w:rsid w:val="00F752CD"/>
    <w:rsid w:val="00F82A18"/>
    <w:rsid w:val="00F836A4"/>
    <w:rsid w:val="00F8561E"/>
    <w:rsid w:val="00F87DE9"/>
    <w:rsid w:val="00F97A61"/>
    <w:rsid w:val="00FA2CA4"/>
    <w:rsid w:val="00FA6FC5"/>
    <w:rsid w:val="00FA7539"/>
    <w:rsid w:val="00FA7BBB"/>
    <w:rsid w:val="00FB084B"/>
    <w:rsid w:val="00FB1696"/>
    <w:rsid w:val="00FB37E7"/>
    <w:rsid w:val="00FB63B4"/>
    <w:rsid w:val="00FB7358"/>
    <w:rsid w:val="00FC01B0"/>
    <w:rsid w:val="00FC2285"/>
    <w:rsid w:val="00FC4E32"/>
    <w:rsid w:val="00FD43B9"/>
    <w:rsid w:val="00FD525F"/>
    <w:rsid w:val="00FD6C0B"/>
    <w:rsid w:val="00FE41EB"/>
    <w:rsid w:val="00FE5139"/>
    <w:rsid w:val="00FE5972"/>
    <w:rsid w:val="00FE5FC3"/>
    <w:rsid w:val="00FE6D6C"/>
    <w:rsid w:val="00FF08E1"/>
    <w:rsid w:val="00FF0E49"/>
    <w:rsid w:val="01718ADD"/>
    <w:rsid w:val="0198D41C"/>
    <w:rsid w:val="027003A0"/>
    <w:rsid w:val="0288F2FE"/>
    <w:rsid w:val="02961F63"/>
    <w:rsid w:val="02B55F36"/>
    <w:rsid w:val="02CB2D94"/>
    <w:rsid w:val="02E64BB8"/>
    <w:rsid w:val="032C0A7A"/>
    <w:rsid w:val="034D21D0"/>
    <w:rsid w:val="0531973C"/>
    <w:rsid w:val="053FEB7C"/>
    <w:rsid w:val="074CD83F"/>
    <w:rsid w:val="0790A03E"/>
    <w:rsid w:val="0799EE8A"/>
    <w:rsid w:val="07CC9858"/>
    <w:rsid w:val="07F9752D"/>
    <w:rsid w:val="0880C131"/>
    <w:rsid w:val="09325C8B"/>
    <w:rsid w:val="0965893D"/>
    <w:rsid w:val="09895632"/>
    <w:rsid w:val="0A629033"/>
    <w:rsid w:val="0AEECDE7"/>
    <w:rsid w:val="0C5053CD"/>
    <w:rsid w:val="0C5BB4B7"/>
    <w:rsid w:val="0C7C6BF9"/>
    <w:rsid w:val="0C7C7F19"/>
    <w:rsid w:val="0CD7F508"/>
    <w:rsid w:val="0CD98D8A"/>
    <w:rsid w:val="0CEA3601"/>
    <w:rsid w:val="0D14F9BF"/>
    <w:rsid w:val="0DB881FE"/>
    <w:rsid w:val="0E2824CD"/>
    <w:rsid w:val="0E5E2EC7"/>
    <w:rsid w:val="0E9E3E9B"/>
    <w:rsid w:val="0EC679E6"/>
    <w:rsid w:val="0F49F51E"/>
    <w:rsid w:val="1008AE66"/>
    <w:rsid w:val="1040DD7F"/>
    <w:rsid w:val="105A2848"/>
    <w:rsid w:val="107647A5"/>
    <w:rsid w:val="10EE4609"/>
    <w:rsid w:val="11A47EC7"/>
    <w:rsid w:val="11C72BD9"/>
    <w:rsid w:val="12DDB9F6"/>
    <w:rsid w:val="136E7102"/>
    <w:rsid w:val="143348CD"/>
    <w:rsid w:val="14B24518"/>
    <w:rsid w:val="15027FF0"/>
    <w:rsid w:val="16061CF4"/>
    <w:rsid w:val="1639DECF"/>
    <w:rsid w:val="1671FB9D"/>
    <w:rsid w:val="16FB53FB"/>
    <w:rsid w:val="180EC6A1"/>
    <w:rsid w:val="18EDE5EB"/>
    <w:rsid w:val="190048BE"/>
    <w:rsid w:val="1967A4E6"/>
    <w:rsid w:val="197B1B41"/>
    <w:rsid w:val="198CA632"/>
    <w:rsid w:val="19A99C5F"/>
    <w:rsid w:val="19EC057D"/>
    <w:rsid w:val="19ECED51"/>
    <w:rsid w:val="1A07AE9C"/>
    <w:rsid w:val="1BB81E6B"/>
    <w:rsid w:val="1BF8B4A4"/>
    <w:rsid w:val="1D245878"/>
    <w:rsid w:val="1D2C1707"/>
    <w:rsid w:val="1D785F2F"/>
    <w:rsid w:val="1E0128B5"/>
    <w:rsid w:val="1EE8D03D"/>
    <w:rsid w:val="1EEFE641"/>
    <w:rsid w:val="1EF33FB6"/>
    <w:rsid w:val="1F390921"/>
    <w:rsid w:val="1FD7782D"/>
    <w:rsid w:val="1FE1EE89"/>
    <w:rsid w:val="20181078"/>
    <w:rsid w:val="202F3F9C"/>
    <w:rsid w:val="205C5C65"/>
    <w:rsid w:val="20618CBA"/>
    <w:rsid w:val="206A48D0"/>
    <w:rsid w:val="206E394C"/>
    <w:rsid w:val="2108A868"/>
    <w:rsid w:val="2146C016"/>
    <w:rsid w:val="22CFA825"/>
    <w:rsid w:val="238AB057"/>
    <w:rsid w:val="24416DBB"/>
    <w:rsid w:val="249682E2"/>
    <w:rsid w:val="250C93E2"/>
    <w:rsid w:val="251EC34C"/>
    <w:rsid w:val="25B2FB43"/>
    <w:rsid w:val="25BC2BD5"/>
    <w:rsid w:val="2657F01F"/>
    <w:rsid w:val="2670BBF6"/>
    <w:rsid w:val="26D38626"/>
    <w:rsid w:val="26E8745A"/>
    <w:rsid w:val="27112AAC"/>
    <w:rsid w:val="2831D19B"/>
    <w:rsid w:val="28757209"/>
    <w:rsid w:val="288645E8"/>
    <w:rsid w:val="292C66D0"/>
    <w:rsid w:val="296946FA"/>
    <w:rsid w:val="29AAE877"/>
    <w:rsid w:val="29ADBC04"/>
    <w:rsid w:val="2A2854F8"/>
    <w:rsid w:val="2A6DA2D2"/>
    <w:rsid w:val="2B0B0BB9"/>
    <w:rsid w:val="2B24138B"/>
    <w:rsid w:val="2B246999"/>
    <w:rsid w:val="2B7561C4"/>
    <w:rsid w:val="2BEBA1E4"/>
    <w:rsid w:val="2C3F316B"/>
    <w:rsid w:val="2C9899CC"/>
    <w:rsid w:val="2D94823C"/>
    <w:rsid w:val="2E203C9F"/>
    <w:rsid w:val="2ED13917"/>
    <w:rsid w:val="2FEDC2A6"/>
    <w:rsid w:val="31A199BA"/>
    <w:rsid w:val="32398DFB"/>
    <w:rsid w:val="32796C3C"/>
    <w:rsid w:val="343F9D5A"/>
    <w:rsid w:val="35DE0809"/>
    <w:rsid w:val="3660CD68"/>
    <w:rsid w:val="37029AF4"/>
    <w:rsid w:val="373F951A"/>
    <w:rsid w:val="379B35BA"/>
    <w:rsid w:val="37D85C6D"/>
    <w:rsid w:val="398C8C4E"/>
    <w:rsid w:val="3ACF8869"/>
    <w:rsid w:val="3B12CBBA"/>
    <w:rsid w:val="3B285CAF"/>
    <w:rsid w:val="3B7E9CA8"/>
    <w:rsid w:val="3B9800AE"/>
    <w:rsid w:val="3CA11E6E"/>
    <w:rsid w:val="3CA52F23"/>
    <w:rsid w:val="3CC7A1F7"/>
    <w:rsid w:val="3CEEC6EF"/>
    <w:rsid w:val="3D5D208E"/>
    <w:rsid w:val="3D9003A2"/>
    <w:rsid w:val="3E88783F"/>
    <w:rsid w:val="3FF22EFD"/>
    <w:rsid w:val="400C6303"/>
    <w:rsid w:val="403C86FC"/>
    <w:rsid w:val="40A9C8A1"/>
    <w:rsid w:val="4108B922"/>
    <w:rsid w:val="41801500"/>
    <w:rsid w:val="4198CBA7"/>
    <w:rsid w:val="41FF85A2"/>
    <w:rsid w:val="422D0475"/>
    <w:rsid w:val="4232661B"/>
    <w:rsid w:val="42899942"/>
    <w:rsid w:val="42D3B5EE"/>
    <w:rsid w:val="43B03DFD"/>
    <w:rsid w:val="441E2C82"/>
    <w:rsid w:val="446542A2"/>
    <w:rsid w:val="44B7B5C2"/>
    <w:rsid w:val="44F55286"/>
    <w:rsid w:val="45230D18"/>
    <w:rsid w:val="45C301E8"/>
    <w:rsid w:val="46337B51"/>
    <w:rsid w:val="4666739A"/>
    <w:rsid w:val="466B0F56"/>
    <w:rsid w:val="46C0E04F"/>
    <w:rsid w:val="46F3EE9F"/>
    <w:rsid w:val="4701E1ED"/>
    <w:rsid w:val="47430506"/>
    <w:rsid w:val="478E6156"/>
    <w:rsid w:val="47E465EC"/>
    <w:rsid w:val="4809A0C2"/>
    <w:rsid w:val="481EE608"/>
    <w:rsid w:val="48EE6AE9"/>
    <w:rsid w:val="4919E692"/>
    <w:rsid w:val="4933BA1B"/>
    <w:rsid w:val="49C734EF"/>
    <w:rsid w:val="49D45190"/>
    <w:rsid w:val="4A36B6F8"/>
    <w:rsid w:val="4ADAFE95"/>
    <w:rsid w:val="4B1C1369"/>
    <w:rsid w:val="4B3A5294"/>
    <w:rsid w:val="4C374632"/>
    <w:rsid w:val="4D1A5B2E"/>
    <w:rsid w:val="4D4725E3"/>
    <w:rsid w:val="4D76D2D5"/>
    <w:rsid w:val="4D975FD0"/>
    <w:rsid w:val="4D9B1F87"/>
    <w:rsid w:val="4E109FA5"/>
    <w:rsid w:val="4E67A22D"/>
    <w:rsid w:val="4E6CFF02"/>
    <w:rsid w:val="4EC00EDC"/>
    <w:rsid w:val="4ED08E0B"/>
    <w:rsid w:val="4EFAF4A6"/>
    <w:rsid w:val="4F64F27B"/>
    <w:rsid w:val="503F94AC"/>
    <w:rsid w:val="5051FBF0"/>
    <w:rsid w:val="509C4A9C"/>
    <w:rsid w:val="514E4D7E"/>
    <w:rsid w:val="51740460"/>
    <w:rsid w:val="51BAB249"/>
    <w:rsid w:val="51CE795D"/>
    <w:rsid w:val="526AA825"/>
    <w:rsid w:val="52C17404"/>
    <w:rsid w:val="5363C431"/>
    <w:rsid w:val="53FDB9BB"/>
    <w:rsid w:val="54F6DB33"/>
    <w:rsid w:val="54F84758"/>
    <w:rsid w:val="54FD316C"/>
    <w:rsid w:val="55576AC3"/>
    <w:rsid w:val="5564BC09"/>
    <w:rsid w:val="55FE687F"/>
    <w:rsid w:val="57F267B9"/>
    <w:rsid w:val="585D3513"/>
    <w:rsid w:val="599B1CD3"/>
    <w:rsid w:val="59A6C8FF"/>
    <w:rsid w:val="5ABE4BC5"/>
    <w:rsid w:val="5B1B5DCA"/>
    <w:rsid w:val="5BD69291"/>
    <w:rsid w:val="5C196EFF"/>
    <w:rsid w:val="5CC9A8D8"/>
    <w:rsid w:val="5CFE7DB5"/>
    <w:rsid w:val="5DEBC897"/>
    <w:rsid w:val="5E042169"/>
    <w:rsid w:val="5EB5E70C"/>
    <w:rsid w:val="5ECD44BA"/>
    <w:rsid w:val="5FBCDF8C"/>
    <w:rsid w:val="5FCC4F41"/>
    <w:rsid w:val="5FDC1B2B"/>
    <w:rsid w:val="602B1139"/>
    <w:rsid w:val="606ED938"/>
    <w:rsid w:val="60784882"/>
    <w:rsid w:val="60B1448E"/>
    <w:rsid w:val="61783517"/>
    <w:rsid w:val="63009025"/>
    <w:rsid w:val="63DD8C75"/>
    <w:rsid w:val="645ED577"/>
    <w:rsid w:val="649C6086"/>
    <w:rsid w:val="64BC5BED"/>
    <w:rsid w:val="6615F486"/>
    <w:rsid w:val="66812A60"/>
    <w:rsid w:val="6702FB83"/>
    <w:rsid w:val="67B7F021"/>
    <w:rsid w:val="67C4E9CE"/>
    <w:rsid w:val="67EF6326"/>
    <w:rsid w:val="681CFAC1"/>
    <w:rsid w:val="68ABB314"/>
    <w:rsid w:val="68F9E224"/>
    <w:rsid w:val="690993FC"/>
    <w:rsid w:val="69541A91"/>
    <w:rsid w:val="6978427D"/>
    <w:rsid w:val="6AB17FC8"/>
    <w:rsid w:val="6AD63501"/>
    <w:rsid w:val="6BF21F77"/>
    <w:rsid w:val="6C6F918A"/>
    <w:rsid w:val="6CF0CEE5"/>
    <w:rsid w:val="6CF57D6F"/>
    <w:rsid w:val="6D1DD4A4"/>
    <w:rsid w:val="6DED6FCC"/>
    <w:rsid w:val="6E0E0948"/>
    <w:rsid w:val="6E955A61"/>
    <w:rsid w:val="708B59AF"/>
    <w:rsid w:val="70A6C60A"/>
    <w:rsid w:val="70E314D8"/>
    <w:rsid w:val="71093819"/>
    <w:rsid w:val="7120C14C"/>
    <w:rsid w:val="7252310D"/>
    <w:rsid w:val="728BAC35"/>
    <w:rsid w:val="728DEBDE"/>
    <w:rsid w:val="738D1F76"/>
    <w:rsid w:val="7566E724"/>
    <w:rsid w:val="760EB91B"/>
    <w:rsid w:val="76398E05"/>
    <w:rsid w:val="77670823"/>
    <w:rsid w:val="78A80137"/>
    <w:rsid w:val="78C1D6DE"/>
    <w:rsid w:val="79A57E2F"/>
    <w:rsid w:val="79B68A5D"/>
    <w:rsid w:val="79F26790"/>
    <w:rsid w:val="7AE77F68"/>
    <w:rsid w:val="7BB877A8"/>
    <w:rsid w:val="7BBB6685"/>
    <w:rsid w:val="7C724652"/>
    <w:rsid w:val="7C72CAC4"/>
    <w:rsid w:val="7D136EE7"/>
    <w:rsid w:val="7E0C34A0"/>
    <w:rsid w:val="7E62FB67"/>
    <w:rsid w:val="7E7858BD"/>
    <w:rsid w:val="7ED48215"/>
    <w:rsid w:val="7EFDFE5A"/>
    <w:rsid w:val="7F351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4A351"/>
  <w15:docId w15:val="{43DC38DE-BB64-41FF-92C0-5AA5AD775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E38"/>
    <w:pPr>
      <w:jc w:val="left"/>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A19"/>
    <w:pPr>
      <w:contextualSpacing/>
    </w:pPr>
  </w:style>
  <w:style w:type="character" w:styleId="Hyperlink">
    <w:name w:val="Hyperlink"/>
    <w:basedOn w:val="DefaultParagraphFont"/>
    <w:uiPriority w:val="99"/>
    <w:unhideWhenUsed/>
    <w:rsid w:val="00FC2285"/>
    <w:rPr>
      <w:color w:val="0000FF" w:themeColor="hyperlink"/>
      <w:u w:val="single"/>
    </w:rPr>
  </w:style>
  <w:style w:type="paragraph" w:styleId="DocumentMap">
    <w:name w:val="Document Map"/>
    <w:basedOn w:val="Normal"/>
    <w:link w:val="DocumentMapChar"/>
    <w:uiPriority w:val="99"/>
    <w:semiHidden/>
    <w:unhideWhenUsed/>
    <w:rsid w:val="00595C5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95C53"/>
    <w:rPr>
      <w:rFonts w:ascii="Tahoma" w:hAnsi="Tahoma" w:cs="Tahoma"/>
      <w:sz w:val="16"/>
      <w:szCs w:val="16"/>
    </w:rPr>
  </w:style>
  <w:style w:type="character" w:styleId="CommentReference">
    <w:name w:val="annotation reference"/>
    <w:basedOn w:val="DefaultParagraphFont"/>
    <w:uiPriority w:val="99"/>
    <w:semiHidden/>
    <w:unhideWhenUsed/>
    <w:rsid w:val="00595C53"/>
    <w:rPr>
      <w:sz w:val="16"/>
      <w:szCs w:val="16"/>
    </w:rPr>
  </w:style>
  <w:style w:type="paragraph" w:styleId="CommentText">
    <w:name w:val="annotation text"/>
    <w:basedOn w:val="Normal"/>
    <w:link w:val="CommentTextChar"/>
    <w:uiPriority w:val="99"/>
    <w:unhideWhenUsed/>
    <w:rsid w:val="00595C53"/>
    <w:pPr>
      <w:spacing w:line="240" w:lineRule="auto"/>
    </w:pPr>
    <w:rPr>
      <w:sz w:val="20"/>
      <w:szCs w:val="20"/>
    </w:rPr>
  </w:style>
  <w:style w:type="character" w:customStyle="1" w:styleId="CommentTextChar">
    <w:name w:val="Comment Text Char"/>
    <w:basedOn w:val="DefaultParagraphFont"/>
    <w:link w:val="CommentText"/>
    <w:uiPriority w:val="99"/>
    <w:rsid w:val="00595C53"/>
    <w:rPr>
      <w:sz w:val="20"/>
      <w:szCs w:val="20"/>
    </w:rPr>
  </w:style>
  <w:style w:type="paragraph" w:styleId="CommentSubject">
    <w:name w:val="annotation subject"/>
    <w:basedOn w:val="CommentText"/>
    <w:next w:val="CommentText"/>
    <w:link w:val="CommentSubjectChar"/>
    <w:uiPriority w:val="99"/>
    <w:semiHidden/>
    <w:unhideWhenUsed/>
    <w:rsid w:val="00595C53"/>
    <w:rPr>
      <w:b/>
      <w:bCs/>
    </w:rPr>
  </w:style>
  <w:style w:type="character" w:customStyle="1" w:styleId="CommentSubjectChar">
    <w:name w:val="Comment Subject Char"/>
    <w:basedOn w:val="CommentTextChar"/>
    <w:link w:val="CommentSubject"/>
    <w:uiPriority w:val="99"/>
    <w:semiHidden/>
    <w:rsid w:val="00595C53"/>
    <w:rPr>
      <w:b/>
      <w:bCs/>
      <w:sz w:val="20"/>
      <w:szCs w:val="20"/>
    </w:rPr>
  </w:style>
  <w:style w:type="paragraph" w:styleId="Revision">
    <w:name w:val="Revision"/>
    <w:hidden/>
    <w:uiPriority w:val="99"/>
    <w:semiHidden/>
    <w:rsid w:val="00595C53"/>
    <w:pPr>
      <w:spacing w:after="0" w:line="240" w:lineRule="auto"/>
      <w:jc w:val="left"/>
    </w:pPr>
  </w:style>
  <w:style w:type="paragraph" w:styleId="BalloonText">
    <w:name w:val="Balloon Text"/>
    <w:basedOn w:val="Normal"/>
    <w:link w:val="BalloonTextChar"/>
    <w:uiPriority w:val="99"/>
    <w:semiHidden/>
    <w:unhideWhenUsed/>
    <w:rsid w:val="00595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C53"/>
    <w:rPr>
      <w:rFonts w:ascii="Tahoma" w:hAnsi="Tahoma" w:cs="Tahoma"/>
      <w:sz w:val="16"/>
      <w:szCs w:val="16"/>
    </w:rPr>
  </w:style>
  <w:style w:type="character" w:styleId="FollowedHyperlink">
    <w:name w:val="FollowedHyperlink"/>
    <w:basedOn w:val="DefaultParagraphFont"/>
    <w:uiPriority w:val="99"/>
    <w:semiHidden/>
    <w:unhideWhenUsed/>
    <w:rsid w:val="00E61CF0"/>
    <w:rPr>
      <w:color w:val="800080" w:themeColor="followedHyperlink"/>
      <w:u w:val="single"/>
    </w:rPr>
  </w:style>
  <w:style w:type="paragraph" w:styleId="NormalWeb">
    <w:name w:val="Normal (Web)"/>
    <w:basedOn w:val="Normal"/>
    <w:uiPriority w:val="99"/>
    <w:semiHidden/>
    <w:unhideWhenUsed/>
    <w:rsid w:val="005D6043"/>
    <w:pPr>
      <w:spacing w:before="100" w:beforeAutospacing="1" w:after="100" w:afterAutospacing="1" w:line="240" w:lineRule="auto"/>
    </w:pPr>
    <w:rPr>
      <w:rFonts w:eastAsia="Times New Roman" w:cs="Times New Roman"/>
      <w:sz w:val="24"/>
      <w:szCs w:val="24"/>
    </w:rPr>
  </w:style>
  <w:style w:type="character" w:customStyle="1" w:styleId="Mention1">
    <w:name w:val="Mention1"/>
    <w:basedOn w:val="DefaultParagraphFont"/>
    <w:uiPriority w:val="99"/>
    <w:semiHidden/>
    <w:unhideWhenUsed/>
    <w:rsid w:val="007C3680"/>
    <w:rPr>
      <w:color w:val="2B579A"/>
      <w:shd w:val="clear" w:color="auto" w:fill="E6E6E6"/>
    </w:rPr>
  </w:style>
  <w:style w:type="paragraph" w:styleId="Caption">
    <w:name w:val="caption"/>
    <w:basedOn w:val="Normal"/>
    <w:next w:val="Normal"/>
    <w:uiPriority w:val="35"/>
    <w:unhideWhenUsed/>
    <w:qFormat/>
    <w:rsid w:val="00A20134"/>
    <w:pPr>
      <w:spacing w:line="240" w:lineRule="auto"/>
    </w:pPr>
    <w:rPr>
      <w:i/>
      <w:iCs/>
      <w:color w:val="1F497D" w:themeColor="text2"/>
      <w:sz w:val="18"/>
      <w:szCs w:val="18"/>
    </w:rPr>
  </w:style>
  <w:style w:type="paragraph" w:customStyle="1" w:styleId="EndNoteBibliography">
    <w:name w:val="EndNote Bibliography"/>
    <w:basedOn w:val="Normal"/>
    <w:link w:val="EndNoteBibliographyChar"/>
    <w:rsid w:val="000109CE"/>
    <w:pPr>
      <w:spacing w:after="0" w:line="240" w:lineRule="auto"/>
    </w:pPr>
    <w:rPr>
      <w:rFonts w:cs="Times New Roman"/>
      <w:noProof/>
      <w:sz w:val="24"/>
    </w:rPr>
  </w:style>
  <w:style w:type="character" w:customStyle="1" w:styleId="EndNoteBibliographyChar">
    <w:name w:val="EndNote Bibliography Char"/>
    <w:basedOn w:val="DefaultParagraphFont"/>
    <w:link w:val="EndNoteBibliography"/>
    <w:rsid w:val="000109CE"/>
    <w:rPr>
      <w:rFonts w:ascii="Times New Roman" w:hAnsi="Times New Roman" w:cs="Times New Roman"/>
      <w:noProof/>
      <w:sz w:val="24"/>
    </w:rPr>
  </w:style>
  <w:style w:type="character" w:styleId="UnresolvedMention">
    <w:name w:val="Unresolved Mention"/>
    <w:basedOn w:val="DefaultParagraphFont"/>
    <w:uiPriority w:val="99"/>
    <w:semiHidden/>
    <w:unhideWhenUsed/>
    <w:rsid w:val="00F612FE"/>
    <w:rPr>
      <w:color w:val="605E5C"/>
      <w:shd w:val="clear" w:color="auto" w:fill="E1DFDD"/>
    </w:rPr>
  </w:style>
  <w:style w:type="paragraph" w:styleId="Header">
    <w:name w:val="header"/>
    <w:basedOn w:val="Normal"/>
    <w:link w:val="HeaderChar"/>
    <w:uiPriority w:val="99"/>
    <w:unhideWhenUsed/>
    <w:rsid w:val="00596B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B4C"/>
    <w:rPr>
      <w:rFonts w:ascii="Times New Roman" w:hAnsi="Times New Roman"/>
    </w:rPr>
  </w:style>
  <w:style w:type="paragraph" w:styleId="Footer">
    <w:name w:val="footer"/>
    <w:basedOn w:val="Normal"/>
    <w:link w:val="FooterChar"/>
    <w:uiPriority w:val="99"/>
    <w:unhideWhenUsed/>
    <w:rsid w:val="00596B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B4C"/>
    <w:rPr>
      <w:rFonts w:ascii="Times New Roman" w:hAnsi="Times New Roman"/>
    </w:rPr>
  </w:style>
  <w:style w:type="character" w:customStyle="1" w:styleId="ui-provider">
    <w:name w:val="ui-provider"/>
    <w:basedOn w:val="DefaultParagraphFont"/>
    <w:rsid w:val="00486D9F"/>
  </w:style>
  <w:style w:type="character" w:customStyle="1" w:styleId="normaltextrun">
    <w:name w:val="normaltextrun"/>
    <w:basedOn w:val="DefaultParagraphFont"/>
    <w:rsid w:val="00320145"/>
  </w:style>
  <w:style w:type="character" w:customStyle="1" w:styleId="eop">
    <w:name w:val="eop"/>
    <w:basedOn w:val="DefaultParagraphFont"/>
    <w:rsid w:val="00320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737413">
      <w:bodyDiv w:val="1"/>
      <w:marLeft w:val="0"/>
      <w:marRight w:val="0"/>
      <w:marTop w:val="0"/>
      <w:marBottom w:val="0"/>
      <w:divBdr>
        <w:top w:val="none" w:sz="0" w:space="0" w:color="auto"/>
        <w:left w:val="none" w:sz="0" w:space="0" w:color="auto"/>
        <w:bottom w:val="none" w:sz="0" w:space="0" w:color="auto"/>
        <w:right w:val="none" w:sz="0" w:space="0" w:color="auto"/>
      </w:divBdr>
    </w:div>
    <w:div w:id="998851857">
      <w:bodyDiv w:val="1"/>
      <w:marLeft w:val="0"/>
      <w:marRight w:val="0"/>
      <w:marTop w:val="0"/>
      <w:marBottom w:val="0"/>
      <w:divBdr>
        <w:top w:val="none" w:sz="0" w:space="0" w:color="auto"/>
        <w:left w:val="none" w:sz="0" w:space="0" w:color="auto"/>
        <w:bottom w:val="none" w:sz="0" w:space="0" w:color="auto"/>
        <w:right w:val="none" w:sz="0" w:space="0" w:color="auto"/>
      </w:divBdr>
    </w:div>
    <w:div w:id="1523861087">
      <w:bodyDiv w:val="1"/>
      <w:marLeft w:val="0"/>
      <w:marRight w:val="0"/>
      <w:marTop w:val="0"/>
      <w:marBottom w:val="0"/>
      <w:divBdr>
        <w:top w:val="none" w:sz="0" w:space="0" w:color="auto"/>
        <w:left w:val="none" w:sz="0" w:space="0" w:color="auto"/>
        <w:bottom w:val="none" w:sz="0" w:space="0" w:color="auto"/>
        <w:right w:val="none" w:sz="0" w:space="0" w:color="auto"/>
      </w:divBdr>
    </w:div>
    <w:div w:id="183444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tmp"/><Relationship Id="rId26" Type="http://schemas.openxmlformats.org/officeDocument/2006/relationships/hyperlink" Target="https://mdotjboss.state.mi.us/TSSD/getTSDocument.htm?docGuid=dbc08581-5f19-4bd5-8d57-69abc3598d6d&amp;fileName=mmutcdpart6_2017.pdf" TargetMode="External"/><Relationship Id="rId39" Type="http://schemas.openxmlformats.org/officeDocument/2006/relationships/hyperlink" Target="https://journals.sagepub.com/doi/abs/10.3141/2258-08" TargetMode="External"/><Relationship Id="rId21" Type="http://schemas.openxmlformats.org/officeDocument/2006/relationships/image" Target="media/image9.png"/><Relationship Id="rId34" Type="http://schemas.openxmlformats.org/officeDocument/2006/relationships/hyperlink" Target="https://ftp.txdot.gov/pub/txdot-info/trf/tmutcd/2011-rev-2/6.pdf" TargetMode="Externa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tmp"/><Relationship Id="rId20" Type="http://schemas.openxmlformats.org/officeDocument/2006/relationships/image" Target="media/image8.png"/><Relationship Id="rId29" Type="http://schemas.openxmlformats.org/officeDocument/2006/relationships/hyperlink" Target="https://trid.trb.org/View/1128907"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isconsindot.gov/dtsdManuals/traffic-ops/manuals-and-standards/wmutcd/mutcd-ch06.pdf" TargetMode="External"/><Relationship Id="rId32" Type="http://schemas.openxmlformats.org/officeDocument/2006/relationships/hyperlink" Target="https://www.roads.maryland.gov/mmutcd/2011_Parts_06_rev2.pdf" TargetMode="External"/><Relationship Id="rId37" Type="http://schemas.openxmlformats.org/officeDocument/2006/relationships/hyperlink" Target="https://www.ideals.illinois.edu/items/26337" TargetMode="External"/><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sciencedirect.com/science/article/abs/pii/S1369847818303954" TargetMode="External"/><Relationship Id="rId36" Type="http://schemas.openxmlformats.org/officeDocument/2006/relationships/hyperlink" Target="https://onlinepubs.trb.org/Onlinepubs/trr/1979/703/703-004.pdf"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https://www.dot.state.oh.us/roadway/omutcd/Documents/2012%20OMUTCD%20-%20Pt.%206.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regulations.delaware.gov/register/may2018/final/MUTCDPart6TemporaryTrafficControl.pdf?cache=1698161203466" TargetMode="External"/><Relationship Id="rId30" Type="http://schemas.openxmlformats.org/officeDocument/2006/relationships/hyperlink" Target="https://static.tti.tamu.edu/tti.tamu.edu/documents/0-7046-R1.pdf" TargetMode="External"/><Relationship Id="rId35" Type="http://schemas.openxmlformats.org/officeDocument/2006/relationships/hyperlink" Target="https://onlinepubs.trb.org/Onlinepubs/trr/1979/703/703-004.pdf" TargetMode="External"/><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tmp"/><Relationship Id="rId25" Type="http://schemas.openxmlformats.org/officeDocument/2006/relationships/hyperlink" Target="https://www.scdot.org/business/pdf/accessMgt/trafficEngineering/supplement_mutcd.pdf" TargetMode="External"/><Relationship Id="rId33" Type="http://schemas.openxmlformats.org/officeDocument/2006/relationships/hyperlink" Target="https://app.leg.wa.gov/wac/default.aspx?cite=468-95-301" TargetMode="External"/><Relationship Id="rId38" Type="http://schemas.openxmlformats.org/officeDocument/2006/relationships/hyperlink" Target="https://pp.bme.hu/tr/article/view/130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15f2db4-56f6-427f-acd9-ad9ec6cfbcd9" xsi:nil="true"/>
    <lcf76f155ced4ddcb4097134ff3c332f xmlns="ab19b2ae-c5ac-4bcd-b666-2e5b8892c3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ABA9A75476504A866F29B725CE9B70" ma:contentTypeVersion="13" ma:contentTypeDescription="Create a new document." ma:contentTypeScope="" ma:versionID="fa5edec4da5a246d8b29096c067b30bb">
  <xsd:schema xmlns:xsd="http://www.w3.org/2001/XMLSchema" xmlns:xs="http://www.w3.org/2001/XMLSchema" xmlns:p="http://schemas.microsoft.com/office/2006/metadata/properties" xmlns:ns2="915f2db4-56f6-427f-acd9-ad9ec6cfbcd9" xmlns:ns3="ab19b2ae-c5ac-4bcd-b666-2e5b8892c366" targetNamespace="http://schemas.microsoft.com/office/2006/metadata/properties" ma:root="true" ma:fieldsID="fa4eb1b223e1b10dfda89516c5b5b5e0" ns2:_="" ns3:_="">
    <xsd:import namespace="915f2db4-56f6-427f-acd9-ad9ec6cfbcd9"/>
    <xsd:import namespace="ab19b2ae-c5ac-4bcd-b666-2e5b8892c3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5f2db4-56f6-427f-acd9-ad9ec6cfbc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918598d-d1be-4a04-951d-bd1a97b62a34}" ma:internalName="TaxCatchAll" ma:showField="CatchAllData" ma:web="915f2db4-56f6-427f-acd9-ad9ec6cfbc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19b2ae-c5ac-4bcd-b666-2e5b8892c3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68e7067-ea45-4a64-b78a-95aabe83ae3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</Value>
</WrappedLabelHistory>
</file>

<file path=customXml/item6.xml><?xml version="1.0" encoding="utf-8"?>
<sisl xmlns:xsd="http://www.w3.org/2001/XMLSchema" xmlns:xsi="http://www.w3.org/2001/XMLSchema-instance" xmlns="http://www.boldonjames.com/2008/01/sie/internal/label" sislVersion="0" policy="c8d5760e-638a-47e8-9e2e-1226c2cb268d" origin="autoSelectedSuggestion">
  <element uid="6e9d1c3a-daa2-43ec-82bb-7652723ced44" value=""/>
  <element uid="ff6f60c4-d18a-40d1-99ca-3382bd4f8d16" value=""/>
</sisl>
</file>

<file path=customXml/itemProps1.xml><?xml version="1.0" encoding="utf-8"?>
<ds:datastoreItem xmlns:ds="http://schemas.openxmlformats.org/officeDocument/2006/customXml" ds:itemID="{BABFEF22-1E5D-470C-9781-F26132C51703}">
  <ds:schemaRefs>
    <ds:schemaRef ds:uri="http://schemas.microsoft.com/office/2006/metadata/properties"/>
    <ds:schemaRef ds:uri="http://schemas.microsoft.com/office/infopath/2007/PartnerControls"/>
    <ds:schemaRef ds:uri="915f2db4-56f6-427f-acd9-ad9ec6cfbcd9"/>
    <ds:schemaRef ds:uri="ab19b2ae-c5ac-4bcd-b666-2e5b8892c366"/>
  </ds:schemaRefs>
</ds:datastoreItem>
</file>

<file path=customXml/itemProps2.xml><?xml version="1.0" encoding="utf-8"?>
<ds:datastoreItem xmlns:ds="http://schemas.openxmlformats.org/officeDocument/2006/customXml" ds:itemID="{CF68D0F0-96D7-4BF6-B7A4-6F8687C1F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5f2db4-56f6-427f-acd9-ad9ec6cfbcd9"/>
    <ds:schemaRef ds:uri="ab19b2ae-c5ac-4bcd-b666-2e5b8892c3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4D2E3-DDE5-4C4B-BF40-3AE773CE91F0}">
  <ds:schemaRefs>
    <ds:schemaRef ds:uri="http://schemas.openxmlformats.org/officeDocument/2006/bibliography"/>
  </ds:schemaRefs>
</ds:datastoreItem>
</file>

<file path=customXml/itemProps4.xml><?xml version="1.0" encoding="utf-8"?>
<ds:datastoreItem xmlns:ds="http://schemas.openxmlformats.org/officeDocument/2006/customXml" ds:itemID="{5C37CAC9-87EB-40ED-942C-91CC8DC174F2}">
  <ds:schemaRefs>
    <ds:schemaRef ds:uri="http://schemas.microsoft.com/sharepoint/v3/contenttype/forms"/>
  </ds:schemaRefs>
</ds:datastoreItem>
</file>

<file path=customXml/itemProps5.xml><?xml version="1.0" encoding="utf-8"?>
<ds:datastoreItem xmlns:ds="http://schemas.openxmlformats.org/officeDocument/2006/customXml" ds:itemID="{DB2F2864-A7D3-4E9C-84C0-50A8FB31726E}">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6ED83053-D525-4A5C-9256-76C73E7D6BA3}">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3046</Words>
  <Characters>17368</Characters>
  <Application>Microsoft Office Word</Application>
  <DocSecurity>0</DocSecurity>
  <Lines>144</Lines>
  <Paragraphs>40</Paragraphs>
  <ScaleCrop>false</ScaleCrop>
  <Company>DOT</Company>
  <LinksUpToDate>false</LinksUpToDate>
  <CharactersWithSpaces>20374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A. Balk</dc:creator>
  <cp:keywords/>
  <dc:description/>
  <cp:lastModifiedBy>Erin Kissner</cp:lastModifiedBy>
  <cp:revision>2</cp:revision>
  <cp:lastPrinted>2017-11-16T19:29:00Z</cp:lastPrinted>
  <dcterms:created xsi:type="dcterms:W3CDTF">2023-11-28T21:15:00Z</dcterms:created>
  <dcterms:modified xsi:type="dcterms:W3CDTF">2023-11-28T21:15:00Z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5ebf4973-a7ba-4616-9998-6fbb9bb3bce1</vt:lpwstr>
  </property>
  <property fmtid="{D5CDD505-2E9C-101B-9397-08002B2CF9AE}" pid="3" name="bjSaver">
    <vt:lpwstr>DrYubdxBEivRaeNX35CPneNhO97eswg1</vt:lpwstr>
  </property>
  <property fmtid="{D5CDD505-2E9C-101B-9397-08002B2CF9AE}" pid="4" name="bjDocumentLabelXML">
    <vt:lpwstr>&lt;?xml version="1.0" encoding="us-ascii"?&gt;&lt;sisl xmlns:xsd="http://www.w3.org/2001/XMLSchema" xmlns:xsi="http://www.w3.org/2001/XMLSchema-instance" sislVersion="0" policy="c8d5760e-638a-47e8-9e2e-1226c2cb268d" origin="autoSelectedSuggestion" xmlns="http://w</vt:lpwstr>
  </property>
  <property fmtid="{D5CDD505-2E9C-101B-9397-08002B2CF9AE}" pid="5" name="bjDocumentLabelXML-0">
    <vt:lpwstr>ww.boldonjames.com/2008/01/sie/internal/label"&gt;&lt;element uid="6e9d1c3a-daa2-43ec-82bb-7652723ced44" value="" /&gt;&lt;element uid="ff6f60c4-d18a-40d1-99ca-3382bd4f8d16" value="" /&gt;&lt;/sisl&gt;</vt:lpwstr>
  </property>
  <property fmtid="{D5CDD505-2E9C-101B-9397-08002B2CF9AE}" pid="6" name="bjDocumentSecurityLabel">
    <vt:lpwstr>M365 Marked - Leidos Proprietary</vt:lpwstr>
  </property>
  <property fmtid="{D5CDD505-2E9C-101B-9397-08002B2CF9AE}" pid="7" name="bjLabelHistoryID">
    <vt:lpwstr>{DB2F2864-A7D3-4E9C-84C0-50A8FB31726E}</vt:lpwstr>
  </property>
  <property fmtid="{D5CDD505-2E9C-101B-9397-08002B2CF9AE}" pid="8" name="MSIP_Label_e9182208-fc20-436a-a999-9f7d673923e8_Enabled">
    <vt:lpwstr>true</vt:lpwstr>
  </property>
  <property fmtid="{D5CDD505-2E9C-101B-9397-08002B2CF9AE}" pid="9" name="MSIP_Label_e9182208-fc20-436a-a999-9f7d673923e8_SetDate">
    <vt:lpwstr>2022-11-11T16:55:30Z</vt:lpwstr>
  </property>
  <property fmtid="{D5CDD505-2E9C-101B-9397-08002B2CF9AE}" pid="10" name="MSIP_Label_e9182208-fc20-436a-a999-9f7d673923e8_Method">
    <vt:lpwstr>Privileged</vt:lpwstr>
  </property>
  <property fmtid="{D5CDD505-2E9C-101B-9397-08002B2CF9AE}" pid="11" name="MSIP_Label_e9182208-fc20-436a-a999-9f7d673923e8_Name">
    <vt:lpwstr>Leidos Proprietary</vt:lpwstr>
  </property>
  <property fmtid="{D5CDD505-2E9C-101B-9397-08002B2CF9AE}" pid="12" name="MSIP_Label_e9182208-fc20-436a-a999-9f7d673923e8_SiteId">
    <vt:lpwstr>b64da4ac-e800-4cfc-8931-e607f720a1b8</vt:lpwstr>
  </property>
  <property fmtid="{D5CDD505-2E9C-101B-9397-08002B2CF9AE}" pid="13" name="MSIP_Label_e9182208-fc20-436a-a999-9f7d673923e8_ActionId">
    <vt:lpwstr>df034a8f-628e-4aed-9776-16b0cfea1e4f</vt:lpwstr>
  </property>
  <property fmtid="{D5CDD505-2E9C-101B-9397-08002B2CF9AE}" pid="14" name="MSIP_Label_e9182208-fc20-436a-a999-9f7d673923e8_ContentBits">
    <vt:lpwstr>3</vt:lpwstr>
  </property>
  <property fmtid="{D5CDD505-2E9C-101B-9397-08002B2CF9AE}" pid="15" name="ContentTypeId">
    <vt:lpwstr>0x010100C0ABA9A75476504A866F29B725CE9B70</vt:lpwstr>
  </property>
  <property fmtid="{D5CDD505-2E9C-101B-9397-08002B2CF9AE}" pid="16" name="MediaServiceImageTags">
    <vt:lpwstr/>
  </property>
</Properties>
</file>