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4AF2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6F3087D7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33D83C0A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09842C12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D27742" w:rsidRPr="00E455BE">
        <w:rPr>
          <w:rFonts w:ascii="Arial" w:hAnsi="Arial" w:cs="Arial"/>
          <w:szCs w:val="23"/>
          <w:u w:val="single"/>
        </w:rPr>
        <w:t xml:space="preserve">Virginia DOT (VDOT)                                                                 </w:t>
      </w:r>
      <w:r w:rsidR="00D27742">
        <w:rPr>
          <w:rFonts w:ascii="Arial" w:hAnsi="Arial" w:cs="Arial"/>
          <w:szCs w:val="23"/>
          <w:u w:val="single"/>
        </w:rPr>
        <w:t xml:space="preserve">   .</w:t>
      </w:r>
    </w:p>
    <w:p w14:paraId="2E9B5940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8BBB442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3FF10CE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1B349DF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3670"/>
        <w:gridCol w:w="1563"/>
        <w:gridCol w:w="1976"/>
        <w:gridCol w:w="3699"/>
      </w:tblGrid>
      <w:tr w:rsidR="00551D8A" w14:paraId="6CBC867E" w14:textId="77777777" w:rsidTr="00743C01">
        <w:trPr>
          <w:trHeight w:val="1997"/>
        </w:trPr>
        <w:tc>
          <w:tcPr>
            <w:tcW w:w="5418" w:type="dxa"/>
            <w:gridSpan w:val="2"/>
          </w:tcPr>
          <w:p w14:paraId="4C9C81D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B2EEE87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14:paraId="42817275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B10BBEE" w14:textId="6059BFBA" w:rsidR="00AC3659" w:rsidRPr="006B23AF" w:rsidRDefault="00AC3659" w:rsidP="00AC3659">
            <w:pPr>
              <w:ind w:right="-720"/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</w:pPr>
            <w:r w:rsidRP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TPF-5(</w:t>
            </w:r>
            <w:r w:rsidR="00292D04" w:rsidRP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463</w:t>
            </w:r>
            <w:r w:rsidRP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 xml:space="preserve">) Pavement Surface Properties </w:t>
            </w:r>
            <w:r w:rsid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br/>
            </w:r>
            <w:r w:rsidRP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Consortium</w:t>
            </w:r>
            <w:r w:rsidR="006B23AF" w:rsidRP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:</w:t>
            </w:r>
            <w:r w:rsid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 xml:space="preserve"> P</w:t>
            </w:r>
            <w:r w:rsidRP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hase II</w:t>
            </w:r>
            <w:r w:rsidR="006B23AF" w:rsidRP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 xml:space="preserve">I - Managing the Pavement </w:t>
            </w:r>
            <w:r w:rsid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br/>
            </w:r>
            <w:r w:rsidR="006B23AF" w:rsidRP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Properties for Improved Safety</w:t>
            </w:r>
          </w:p>
          <w:p w14:paraId="4C0699F6" w14:textId="77777777" w:rsidR="00F32697" w:rsidRPr="006B23AF" w:rsidRDefault="00F32697" w:rsidP="00F326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4D5FFD" w14:textId="77777777" w:rsidR="00F32697" w:rsidRPr="006B23AF" w:rsidRDefault="00F32697" w:rsidP="00F326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83CC9" w14:textId="77777777" w:rsidR="00E35E0F" w:rsidRPr="006B23AF" w:rsidRDefault="00E35E0F" w:rsidP="00F32697">
            <w:pPr>
              <w:tabs>
                <w:tab w:val="left" w:pos="33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14F0B6A0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19AD62A" w14:textId="47BB52F9" w:rsidR="00551D8A" w:rsidRDefault="00F91ADD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 w:val="20"/>
                <w:szCs w:val="36"/>
              </w:rPr>
              <w:sym w:font="Wingdings" w:char="F0FE"/>
            </w:r>
            <w:r>
              <w:rPr>
                <w:rFonts w:ascii="Arial" w:hAnsi="Arial" w:cs="Arial"/>
                <w:sz w:val="20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C16F261" w14:textId="46BCE290" w:rsidR="00551D8A" w:rsidRDefault="0062583A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Cs w:val="36"/>
              </w:rPr>
              <w:sym w:font="Wingdings" w:char="F0A8"/>
            </w:r>
            <w:r>
              <w:rPr>
                <w:rFonts w:ascii="Arial" w:hAnsi="Arial" w:cs="Arial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775D6D71" w14:textId="43193D07" w:rsidR="00551D8A" w:rsidRDefault="001E1289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Cs w:val="36"/>
              </w:rPr>
              <w:sym w:font="Wingdings" w:char="F0A8"/>
            </w:r>
            <w:r>
              <w:rPr>
                <w:rFonts w:ascii="Arial" w:hAnsi="Arial" w:cs="Arial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563C9211" w14:textId="627AAC2E" w:rsidR="00551D8A" w:rsidRPr="00F32697" w:rsidRDefault="00F91ADD" w:rsidP="00F32697">
            <w:pPr>
              <w:spacing w:before="120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32697">
              <w:rPr>
                <w:rFonts w:ascii="Arial" w:hAnsi="Arial" w:cs="Arial"/>
                <w:szCs w:val="36"/>
              </w:rPr>
              <w:sym w:font="Wingdings" w:char="F0A8"/>
            </w:r>
            <w:r>
              <w:rPr>
                <w:rFonts w:ascii="Arial" w:hAnsi="Arial" w:cs="Arial"/>
                <w:szCs w:val="36"/>
              </w:rPr>
              <w:t xml:space="preserve"> </w:t>
            </w:r>
            <w:r w:rsidR="00581B36" w:rsidRPr="00F3269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F3269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6B23AF" w14:paraId="3AC69472" w14:textId="77777777" w:rsidTr="00874EF7">
        <w:tc>
          <w:tcPr>
            <w:tcW w:w="10908" w:type="dxa"/>
            <w:gridSpan w:val="4"/>
          </w:tcPr>
          <w:p w14:paraId="17807454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35FB8B5D" w14:textId="11EDFAA0" w:rsidR="00535598" w:rsidRPr="006B23AF" w:rsidRDefault="00D27742" w:rsidP="00D27742">
            <w:pPr>
              <w:pStyle w:val="Default"/>
              <w:jc w:val="center"/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val="fr-FR"/>
              </w:rPr>
            </w:pPr>
            <w:r w:rsidRP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val="fr-FR"/>
              </w:rPr>
              <w:t xml:space="preserve">Pavement Surface </w:t>
            </w:r>
            <w:r w:rsidRPr="00A86794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</w:rPr>
              <w:t>Properties</w:t>
            </w:r>
            <w:r w:rsidRP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val="fr-FR"/>
              </w:rPr>
              <w:t xml:space="preserve"> Consortium</w:t>
            </w:r>
            <w:r w:rsidR="006B23AF" w:rsidRP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val="fr-FR"/>
              </w:rPr>
              <w:t xml:space="preserve"> P</w:t>
            </w:r>
            <w:r w:rsidR="006B23AF">
              <w:rPr>
                <w:rFonts w:ascii="Arial" w:hAnsi="Arial" w:cs="Arial"/>
                <w:b/>
                <w:color w:val="632423" w:themeColor="accent2" w:themeShade="80"/>
                <w:sz w:val="20"/>
                <w:szCs w:val="20"/>
                <w:lang w:val="fr-FR"/>
              </w:rPr>
              <w:t>hase III</w:t>
            </w:r>
          </w:p>
          <w:p w14:paraId="0E1E4841" w14:textId="77777777" w:rsidR="00743C01" w:rsidRPr="006B23AF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43C01" w:rsidRPr="00B66A21" w14:paraId="08CDCB6F" w14:textId="77777777" w:rsidTr="00D27742">
        <w:tc>
          <w:tcPr>
            <w:tcW w:w="3798" w:type="dxa"/>
          </w:tcPr>
          <w:p w14:paraId="6F39A10B" w14:textId="77777777" w:rsidR="00743C01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415B7" w14:textId="46CD3230" w:rsidR="00D27742" w:rsidRPr="00C13753" w:rsidRDefault="00DD21DD" w:rsidP="00D277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Brian Diefenderfer</w:t>
            </w:r>
          </w:p>
        </w:tc>
        <w:tc>
          <w:tcPr>
            <w:tcW w:w="3690" w:type="dxa"/>
            <w:gridSpan w:val="2"/>
          </w:tcPr>
          <w:p w14:paraId="1921C48E" w14:textId="77777777" w:rsidR="00743C01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3F7E4278" w14:textId="3015A8FF" w:rsidR="00D27742" w:rsidRPr="00C13753" w:rsidRDefault="00D27742" w:rsidP="00D277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(434) 293-19</w:t>
            </w:r>
            <w:r w:rsidR="00DD21DD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3420" w:type="dxa"/>
          </w:tcPr>
          <w:p w14:paraId="69C8C8FD" w14:textId="77777777" w:rsidR="00743C01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56D3721E" w14:textId="6E977936" w:rsidR="0048228E" w:rsidRPr="00B66A21" w:rsidRDefault="002101EC" w:rsidP="0048228E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DD21DD" w:rsidRPr="003B1375">
                <w:rPr>
                  <w:rStyle w:val="Hyperlink"/>
                  <w:rFonts w:ascii="Arial" w:hAnsi="Arial" w:cs="Arial"/>
                  <w:sz w:val="20"/>
                  <w:szCs w:val="20"/>
                </w:rPr>
                <w:t>Brian.Diefenderfer@VDOT.Virginia.gov</w:t>
              </w:r>
            </w:hyperlink>
          </w:p>
        </w:tc>
      </w:tr>
      <w:tr w:rsidR="00535598" w:rsidRPr="00B66A21" w14:paraId="3883D4FE" w14:textId="77777777" w:rsidTr="00D27742">
        <w:tc>
          <w:tcPr>
            <w:tcW w:w="3798" w:type="dxa"/>
          </w:tcPr>
          <w:p w14:paraId="5A020F54" w14:textId="77777777"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1C12F796" w14:textId="77777777" w:rsidR="00D27742" w:rsidRPr="00D27742" w:rsidRDefault="00D27742" w:rsidP="00D27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742">
              <w:rPr>
                <w:rFonts w:ascii="Arial" w:hAnsi="Arial" w:cs="Arial"/>
                <w:sz w:val="20"/>
                <w:szCs w:val="20"/>
              </w:rPr>
              <w:t>82650</w:t>
            </w:r>
          </w:p>
        </w:tc>
        <w:tc>
          <w:tcPr>
            <w:tcW w:w="3690" w:type="dxa"/>
            <w:gridSpan w:val="2"/>
          </w:tcPr>
          <w:p w14:paraId="1EB108D1" w14:textId="77777777"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08ABECCE" w14:textId="48C71947" w:rsidR="00D27742" w:rsidRPr="006B23AF" w:rsidRDefault="006B23AF" w:rsidP="006B23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23AF">
              <w:rPr>
                <w:rFonts w:ascii="Arial" w:hAnsi="Arial" w:cs="Arial"/>
                <w:bCs/>
                <w:sz w:val="20"/>
                <w:szCs w:val="20"/>
              </w:rPr>
              <w:t>467191 (VT)</w:t>
            </w:r>
          </w:p>
        </w:tc>
        <w:tc>
          <w:tcPr>
            <w:tcW w:w="3420" w:type="dxa"/>
          </w:tcPr>
          <w:p w14:paraId="46A85B20" w14:textId="77777777" w:rsidR="00535598" w:rsidRPr="00C13753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43BCAE9F" w14:textId="5CE8CB8D" w:rsidR="00535598" w:rsidRPr="00B66A21" w:rsidRDefault="00434DE9" w:rsidP="00AC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27742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D27742">
              <w:rPr>
                <w:rFonts w:ascii="Arial" w:hAnsi="Arial" w:cs="Arial"/>
                <w:sz w:val="20"/>
                <w:szCs w:val="20"/>
              </w:rPr>
              <w:t>/20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535598" w:rsidRPr="00B66A21" w14:paraId="7A1086E7" w14:textId="77777777" w:rsidTr="00D27742">
        <w:tc>
          <w:tcPr>
            <w:tcW w:w="3798" w:type="dxa"/>
          </w:tcPr>
          <w:p w14:paraId="348ED5D6" w14:textId="77777777"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6AE4A1B" w14:textId="78DE8332" w:rsidR="00D27742" w:rsidRPr="00D27742" w:rsidRDefault="00434DE9" w:rsidP="00AC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27742" w:rsidRPr="00D27742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AC3659">
              <w:rPr>
                <w:rFonts w:ascii="Arial" w:hAnsi="Arial" w:cs="Arial"/>
                <w:sz w:val="20"/>
                <w:szCs w:val="20"/>
              </w:rPr>
              <w:t>/202</w:t>
            </w:r>
            <w:r w:rsidR="00DD21D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90" w:type="dxa"/>
            <w:gridSpan w:val="2"/>
          </w:tcPr>
          <w:p w14:paraId="475DE612" w14:textId="77777777" w:rsidR="00535598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78500878" w14:textId="678F9EC0" w:rsidR="00D27742" w:rsidRPr="00D27742" w:rsidRDefault="00434DE9" w:rsidP="00AC3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A3C74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2A3C74">
              <w:rPr>
                <w:rFonts w:ascii="Arial" w:hAnsi="Arial" w:cs="Arial"/>
                <w:sz w:val="20"/>
                <w:szCs w:val="20"/>
              </w:rPr>
              <w:t>/20</w:t>
            </w:r>
            <w:r w:rsidR="00AC3659">
              <w:rPr>
                <w:rFonts w:ascii="Arial" w:hAnsi="Arial" w:cs="Arial"/>
                <w:sz w:val="20"/>
                <w:szCs w:val="20"/>
              </w:rPr>
              <w:t>2</w:t>
            </w:r>
            <w:r w:rsidR="00DD21D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20" w:type="dxa"/>
          </w:tcPr>
          <w:p w14:paraId="3161CBD2" w14:textId="77777777" w:rsidR="00535598" w:rsidRPr="00C13753" w:rsidRDefault="00535598" w:rsidP="00D27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0FD5043E" w14:textId="77777777" w:rsidR="00535598" w:rsidRPr="00B66A21" w:rsidRDefault="00081B03" w:rsidP="00D27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</w:tbl>
    <w:p w14:paraId="67143796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DA57672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1FBDBE0C" w14:textId="77777777" w:rsidR="00743C01" w:rsidRPr="000B47C1" w:rsidRDefault="00743C01" w:rsidP="000B47C1">
      <w:pPr>
        <w:pStyle w:val="ListParagraph"/>
        <w:numPr>
          <w:ilvl w:val="0"/>
          <w:numId w:val="4"/>
        </w:numPr>
        <w:spacing w:before="120" w:after="0"/>
        <w:ind w:right="-720"/>
        <w:rPr>
          <w:rFonts w:ascii="Arial" w:hAnsi="Arial" w:cs="Arial"/>
          <w:sz w:val="20"/>
          <w:szCs w:val="20"/>
        </w:rPr>
      </w:pPr>
      <w:r w:rsidRPr="000B47C1">
        <w:rPr>
          <w:rFonts w:ascii="Arial" w:hAnsi="Arial" w:cs="Arial"/>
          <w:sz w:val="36"/>
          <w:szCs w:val="36"/>
        </w:rPr>
        <w:t xml:space="preserve"> </w:t>
      </w:r>
      <w:r w:rsidRPr="000B47C1">
        <w:rPr>
          <w:rFonts w:ascii="Arial" w:hAnsi="Arial" w:cs="Arial"/>
          <w:sz w:val="20"/>
          <w:szCs w:val="20"/>
        </w:rPr>
        <w:t>On schedule</w:t>
      </w:r>
      <w:r w:rsidRPr="000B47C1">
        <w:rPr>
          <w:rFonts w:ascii="Arial" w:hAnsi="Arial" w:cs="Arial"/>
          <w:sz w:val="20"/>
          <w:szCs w:val="20"/>
        </w:rPr>
        <w:tab/>
      </w:r>
      <w:r w:rsidR="000B47C1" w:rsidRPr="00F32697">
        <w:rPr>
          <w:rFonts w:ascii="Arial" w:hAnsi="Arial" w:cs="Arial"/>
          <w:szCs w:val="36"/>
        </w:rPr>
        <w:sym w:font="Wingdings" w:char="F0A8"/>
      </w:r>
      <w:r w:rsidRPr="000B47C1">
        <w:rPr>
          <w:rFonts w:ascii="Arial" w:hAnsi="Arial" w:cs="Arial"/>
          <w:sz w:val="36"/>
          <w:szCs w:val="36"/>
        </w:rPr>
        <w:t xml:space="preserve"> </w:t>
      </w:r>
      <w:r w:rsidRPr="000B47C1">
        <w:rPr>
          <w:rFonts w:ascii="Arial" w:hAnsi="Arial" w:cs="Arial"/>
          <w:sz w:val="20"/>
          <w:szCs w:val="20"/>
        </w:rPr>
        <w:t>On revised schedule</w:t>
      </w:r>
      <w:r w:rsidRPr="000B47C1">
        <w:rPr>
          <w:rFonts w:ascii="Arial" w:hAnsi="Arial" w:cs="Arial"/>
          <w:sz w:val="20"/>
          <w:szCs w:val="20"/>
        </w:rPr>
        <w:tab/>
      </w:r>
      <w:r w:rsidRPr="000B47C1">
        <w:rPr>
          <w:rFonts w:ascii="Arial" w:hAnsi="Arial" w:cs="Arial"/>
          <w:sz w:val="20"/>
          <w:szCs w:val="20"/>
        </w:rPr>
        <w:tab/>
      </w:r>
      <w:r w:rsidR="000B47C1" w:rsidRPr="00F32697">
        <w:rPr>
          <w:rFonts w:ascii="Arial" w:hAnsi="Arial" w:cs="Arial"/>
          <w:szCs w:val="36"/>
        </w:rPr>
        <w:sym w:font="Wingdings" w:char="F0A8"/>
      </w:r>
      <w:r w:rsidRPr="000B47C1">
        <w:rPr>
          <w:rFonts w:ascii="Arial" w:hAnsi="Arial" w:cs="Arial"/>
          <w:sz w:val="36"/>
          <w:szCs w:val="36"/>
        </w:rPr>
        <w:t xml:space="preserve"> </w:t>
      </w:r>
      <w:r w:rsidRPr="000B47C1">
        <w:rPr>
          <w:rFonts w:ascii="Arial" w:hAnsi="Arial" w:cs="Arial"/>
          <w:sz w:val="20"/>
          <w:szCs w:val="20"/>
        </w:rPr>
        <w:t>Ahead of schedule</w:t>
      </w:r>
      <w:r w:rsidRPr="000B47C1">
        <w:rPr>
          <w:rFonts w:ascii="Arial" w:hAnsi="Arial" w:cs="Arial"/>
          <w:sz w:val="20"/>
          <w:szCs w:val="20"/>
        </w:rPr>
        <w:tab/>
      </w:r>
      <w:r w:rsidRPr="000B47C1">
        <w:rPr>
          <w:rFonts w:ascii="Arial" w:hAnsi="Arial" w:cs="Arial"/>
          <w:sz w:val="20"/>
          <w:szCs w:val="20"/>
        </w:rPr>
        <w:tab/>
      </w:r>
      <w:r w:rsidR="000B47C1" w:rsidRPr="00F32697">
        <w:rPr>
          <w:rFonts w:ascii="Arial" w:hAnsi="Arial" w:cs="Arial"/>
          <w:szCs w:val="36"/>
        </w:rPr>
        <w:sym w:font="Wingdings" w:char="F0A8"/>
      </w:r>
      <w:r w:rsidRPr="000B47C1">
        <w:rPr>
          <w:rFonts w:ascii="Arial" w:hAnsi="Arial" w:cs="Arial"/>
          <w:sz w:val="20"/>
          <w:szCs w:val="20"/>
        </w:rPr>
        <w:t xml:space="preserve"> Behind schedule</w:t>
      </w:r>
    </w:p>
    <w:p w14:paraId="4D30828A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90CBA1A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0AEAF35A" w14:textId="77777777" w:rsidTr="00B66A21">
        <w:tc>
          <w:tcPr>
            <w:tcW w:w="4158" w:type="dxa"/>
            <w:shd w:val="pct15" w:color="auto" w:fill="auto"/>
          </w:tcPr>
          <w:p w14:paraId="584C6CB5" w14:textId="77777777" w:rsidR="00874EF7" w:rsidRPr="00C13753" w:rsidRDefault="00B2185C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06F33FDD" w14:textId="77777777" w:rsidR="00874EF7" w:rsidRPr="00C13753" w:rsidRDefault="00B2185C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3CE5A82C" w14:textId="77777777" w:rsidR="00547EE3" w:rsidRDefault="00547EE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171843D" w14:textId="77777777" w:rsidR="00874EF7" w:rsidRPr="00C13753" w:rsidRDefault="00547EE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48D3E536" w14:textId="77777777" w:rsidTr="00B66A21">
        <w:tc>
          <w:tcPr>
            <w:tcW w:w="4158" w:type="dxa"/>
          </w:tcPr>
          <w:p w14:paraId="72867957" w14:textId="7D7C04EF" w:rsidR="00874EF7" w:rsidRPr="008C13A1" w:rsidRDefault="002153F0" w:rsidP="00CF048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3A1">
              <w:rPr>
                <w:rFonts w:ascii="Arial" w:hAnsi="Arial" w:cs="Arial"/>
                <w:color w:val="333333"/>
                <w:sz w:val="20"/>
                <w:szCs w:val="20"/>
              </w:rPr>
              <w:t>$</w:t>
            </w:r>
            <w:r w:rsidR="00292D04">
              <w:rPr>
                <w:rFonts w:ascii="Arial" w:hAnsi="Arial" w:cs="Arial"/>
                <w:color w:val="333333"/>
                <w:sz w:val="20"/>
                <w:szCs w:val="20"/>
              </w:rPr>
              <w:t>1,</w:t>
            </w:r>
            <w:r w:rsidR="006B23AF"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  <w:r w:rsidR="00434DE9">
              <w:rPr>
                <w:rFonts w:ascii="Arial" w:hAnsi="Arial" w:cs="Arial"/>
                <w:color w:val="333333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  <w:r w:rsidR="00434DE9">
              <w:rPr>
                <w:rFonts w:ascii="Arial" w:hAnsi="Arial" w:cs="Arial"/>
                <w:color w:val="333333"/>
                <w:sz w:val="20"/>
                <w:szCs w:val="20"/>
              </w:rPr>
              <w:t>000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2BEA00E8" w14:textId="6F259FDF" w:rsidR="002153F0" w:rsidRPr="008C13A1" w:rsidRDefault="00DC3ED7" w:rsidP="002153F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713B22">
              <w:rPr>
                <w:rFonts w:ascii="Arial" w:hAnsi="Arial" w:cs="Arial"/>
                <w:sz w:val="20"/>
              </w:rPr>
              <w:t>12</w:t>
            </w:r>
            <w:r w:rsidR="006B23AF">
              <w:rPr>
                <w:rFonts w:ascii="Arial" w:hAnsi="Arial" w:cs="Arial"/>
                <w:sz w:val="20"/>
              </w:rPr>
              <w:t>5</w:t>
            </w:r>
            <w:r w:rsidR="00292D04">
              <w:rPr>
                <w:rFonts w:ascii="Arial" w:hAnsi="Arial" w:cs="Arial"/>
                <w:sz w:val="20"/>
              </w:rPr>
              <w:t>,</w:t>
            </w:r>
            <w:r w:rsidR="006B23AF">
              <w:rPr>
                <w:rFonts w:ascii="Arial" w:hAnsi="Arial" w:cs="Arial"/>
                <w:sz w:val="20"/>
              </w:rPr>
              <w:t>9</w:t>
            </w:r>
            <w:r w:rsidR="00713B22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3420" w:type="dxa"/>
          </w:tcPr>
          <w:p w14:paraId="4B319953" w14:textId="07D5675B" w:rsidR="00874EF7" w:rsidRPr="008C13A1" w:rsidRDefault="002153F0" w:rsidP="002153F0">
            <w:pPr>
              <w:tabs>
                <w:tab w:val="left" w:pos="1290"/>
                <w:tab w:val="center" w:pos="160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13B22">
              <w:rPr>
                <w:rFonts w:ascii="Arial" w:hAnsi="Arial" w:cs="Arial"/>
                <w:sz w:val="20"/>
                <w:szCs w:val="20"/>
              </w:rPr>
              <w:t>8</w:t>
            </w:r>
            <w:r w:rsidR="00324DF4" w:rsidRPr="008C13A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040D1D37" w14:textId="77777777" w:rsidR="00743C01" w:rsidRDefault="00743C01" w:rsidP="000B47C1">
      <w:pPr>
        <w:spacing w:after="0"/>
        <w:ind w:left="-720"/>
        <w:rPr>
          <w:rFonts w:ascii="Arial" w:hAnsi="Arial" w:cs="Arial"/>
          <w:sz w:val="20"/>
          <w:szCs w:val="20"/>
        </w:rPr>
      </w:pPr>
    </w:p>
    <w:p w14:paraId="06267D3B" w14:textId="77777777" w:rsidR="00B66A21" w:rsidRDefault="00B66A21" w:rsidP="000B47C1">
      <w:pPr>
        <w:spacing w:after="0"/>
        <w:ind w:lef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BA65229" w14:textId="77777777" w:rsidTr="00B66A21">
        <w:tc>
          <w:tcPr>
            <w:tcW w:w="4158" w:type="dxa"/>
            <w:shd w:val="pct15" w:color="auto" w:fill="auto"/>
          </w:tcPr>
          <w:p w14:paraId="0D9F0765" w14:textId="77777777" w:rsidR="00547EE3" w:rsidRDefault="004144E6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28EB61B2" w14:textId="77777777" w:rsidR="00B66A21" w:rsidRPr="00C13753" w:rsidRDefault="004144E6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690F9F63" w14:textId="77777777" w:rsidR="00C13753" w:rsidRDefault="00B2185C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17627BDF" w14:textId="77777777" w:rsidR="00B66A21" w:rsidRPr="00C13753" w:rsidRDefault="00C1375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3836EADC" w14:textId="77777777" w:rsidR="004144E6" w:rsidRDefault="00547EE3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2DDCD363" w14:textId="77777777" w:rsidR="000B665A" w:rsidRPr="00C13753" w:rsidRDefault="004144E6" w:rsidP="000B47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05D9E601" w14:textId="77777777" w:rsidTr="008C13A1">
        <w:tc>
          <w:tcPr>
            <w:tcW w:w="4158" w:type="dxa"/>
            <w:shd w:val="clear" w:color="auto" w:fill="auto"/>
          </w:tcPr>
          <w:p w14:paraId="06AAB688" w14:textId="53D61425" w:rsidR="00B66A21" w:rsidRPr="00013654" w:rsidRDefault="00537E1D" w:rsidP="009E40D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654">
              <w:rPr>
                <w:rFonts w:ascii="Arial" w:hAnsi="Arial" w:cs="Arial"/>
                <w:sz w:val="20"/>
                <w:szCs w:val="20"/>
              </w:rPr>
              <w:t>$</w:t>
            </w:r>
            <w:r w:rsidR="00713B22">
              <w:rPr>
                <w:rFonts w:ascii="Arial" w:hAnsi="Arial" w:cs="Arial"/>
                <w:sz w:val="20"/>
                <w:szCs w:val="20"/>
              </w:rPr>
              <w:t>31</w:t>
            </w:r>
            <w:r w:rsidR="00292D04">
              <w:rPr>
                <w:rFonts w:ascii="Arial" w:hAnsi="Arial" w:cs="Arial"/>
                <w:sz w:val="20"/>
                <w:szCs w:val="20"/>
              </w:rPr>
              <w:t>,</w:t>
            </w:r>
            <w:r w:rsidR="00713B22">
              <w:rPr>
                <w:rFonts w:ascii="Arial" w:hAnsi="Arial" w:cs="Arial"/>
                <w:sz w:val="20"/>
                <w:szCs w:val="20"/>
              </w:rPr>
              <w:t>102</w:t>
            </w:r>
            <w:r w:rsidR="00292D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3654">
              <w:rPr>
                <w:rFonts w:ascii="Arial" w:hAnsi="Arial" w:cs="Arial"/>
                <w:sz w:val="20"/>
                <w:szCs w:val="20"/>
              </w:rPr>
              <w:t>(</w:t>
            </w:r>
            <w:r w:rsidR="00F91ADD">
              <w:rPr>
                <w:rFonts w:ascii="Arial" w:hAnsi="Arial" w:cs="Arial"/>
                <w:sz w:val="20"/>
                <w:szCs w:val="20"/>
              </w:rPr>
              <w:t>2</w:t>
            </w:r>
            <w:r w:rsidRPr="00013654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3330" w:type="dxa"/>
            <w:shd w:val="clear" w:color="auto" w:fill="auto"/>
          </w:tcPr>
          <w:p w14:paraId="5E292565" w14:textId="7BAF9363" w:rsidR="00B66A21" w:rsidRPr="00013654" w:rsidRDefault="00537E1D" w:rsidP="009E40DC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654">
              <w:rPr>
                <w:rFonts w:ascii="Arial" w:hAnsi="Arial" w:cs="Arial"/>
                <w:sz w:val="20"/>
                <w:szCs w:val="20"/>
              </w:rPr>
              <w:t>$</w:t>
            </w:r>
            <w:r w:rsidR="00713B22">
              <w:rPr>
                <w:rFonts w:ascii="Arial" w:hAnsi="Arial" w:cs="Arial"/>
                <w:sz w:val="20"/>
                <w:szCs w:val="20"/>
              </w:rPr>
              <w:t>31,102</w:t>
            </w:r>
          </w:p>
        </w:tc>
        <w:tc>
          <w:tcPr>
            <w:tcW w:w="3420" w:type="dxa"/>
            <w:shd w:val="clear" w:color="auto" w:fill="auto"/>
          </w:tcPr>
          <w:p w14:paraId="6B8C710D" w14:textId="69A20FD8" w:rsidR="00B66A21" w:rsidRPr="00013654" w:rsidRDefault="00713B22" w:rsidP="00B77F6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37E1D" w:rsidRPr="0001365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1359659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70546C" w14:textId="7B91E3F7" w:rsidR="002153F0" w:rsidRDefault="00AC3659">
      <w:pPr>
        <w:rPr>
          <w:rFonts w:ascii="Arial" w:hAnsi="Arial" w:cs="Arial"/>
          <w:sz w:val="18"/>
          <w:szCs w:val="20"/>
        </w:rPr>
      </w:pPr>
      <w:r w:rsidRPr="00DC3ED7">
        <w:rPr>
          <w:rFonts w:ascii="Arial" w:hAnsi="Arial" w:cs="Arial"/>
          <w:sz w:val="18"/>
          <w:szCs w:val="20"/>
          <w:vertAlign w:val="superscript"/>
        </w:rPr>
        <w:t xml:space="preserve">* </w:t>
      </w:r>
      <w:r w:rsidRPr="00DC3ED7">
        <w:rPr>
          <w:rFonts w:ascii="Arial" w:hAnsi="Arial" w:cs="Arial"/>
          <w:sz w:val="18"/>
          <w:szCs w:val="20"/>
        </w:rPr>
        <w:t>Committed; the actual contracted budget is $</w:t>
      </w:r>
      <w:r w:rsidR="0062583A">
        <w:rPr>
          <w:rFonts w:ascii="Arial" w:hAnsi="Arial" w:cs="Arial"/>
          <w:sz w:val="18"/>
          <w:szCs w:val="20"/>
        </w:rPr>
        <w:t>2</w:t>
      </w:r>
      <w:r w:rsidR="00434DE9">
        <w:rPr>
          <w:rFonts w:ascii="Arial" w:hAnsi="Arial" w:cs="Arial"/>
          <w:sz w:val="18"/>
          <w:szCs w:val="20"/>
        </w:rPr>
        <w:t>00</w:t>
      </w:r>
      <w:r w:rsidRPr="00DC3ED7">
        <w:rPr>
          <w:rFonts w:ascii="Arial" w:hAnsi="Arial" w:cs="Arial"/>
          <w:sz w:val="18"/>
          <w:szCs w:val="20"/>
        </w:rPr>
        <w:t>,</w:t>
      </w:r>
      <w:r w:rsidR="00434DE9">
        <w:rPr>
          <w:rFonts w:ascii="Arial" w:hAnsi="Arial" w:cs="Arial"/>
          <w:sz w:val="18"/>
          <w:szCs w:val="20"/>
        </w:rPr>
        <w:t>000</w:t>
      </w:r>
      <w:r w:rsidR="00BA04F6">
        <w:rPr>
          <w:rFonts w:ascii="Arial" w:hAnsi="Arial" w:cs="Arial"/>
          <w:sz w:val="18"/>
          <w:szCs w:val="20"/>
        </w:rPr>
        <w:t xml:space="preserve"> </w:t>
      </w:r>
      <w:r w:rsidR="00DC3ED7" w:rsidRPr="00DC3ED7">
        <w:rPr>
          <w:rFonts w:ascii="Arial" w:hAnsi="Arial" w:cs="Arial"/>
          <w:sz w:val="18"/>
          <w:szCs w:val="20"/>
        </w:rPr>
        <w:t>(VTTI)</w:t>
      </w:r>
    </w:p>
    <w:p w14:paraId="679B38A8" w14:textId="08F6C1AA" w:rsidR="00037FBC" w:rsidRPr="00DC3ED7" w:rsidRDefault="00037FBC">
      <w:pPr>
        <w:rPr>
          <w:rFonts w:ascii="Arial" w:hAnsi="Arial" w:cs="Arial"/>
          <w:sz w:val="18"/>
          <w:szCs w:val="20"/>
        </w:rPr>
      </w:pPr>
      <w:r w:rsidRPr="00DC3ED7">
        <w:rPr>
          <w:rFonts w:ascii="Arial" w:hAnsi="Arial" w:cs="Arial"/>
          <w:sz w:val="18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6A8388D5" w14:textId="77777777" w:rsidTr="00601EBD">
        <w:tc>
          <w:tcPr>
            <w:tcW w:w="10908" w:type="dxa"/>
          </w:tcPr>
          <w:p w14:paraId="48D966F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4FD4B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ACC560E" w14:textId="512B1691" w:rsidR="00E970B6" w:rsidRDefault="00E970B6" w:rsidP="00E970B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T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>h</w:t>
            </w:r>
            <w:r w:rsidR="00434DE9">
              <w:rPr>
                <w:rFonts w:ascii="Times New Roman" w:hAnsi="Times New Roman" w:cs="Times New Roman"/>
                <w:color w:val="000000"/>
                <w:sz w:val="20"/>
              </w:rPr>
              <w:t xml:space="preserve">is 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 xml:space="preserve">applied research </w:t>
            </w:r>
            <w:r w:rsidR="00434DE9">
              <w:rPr>
                <w:rFonts w:ascii="Times New Roman" w:hAnsi="Times New Roman" w:cs="Times New Roman"/>
                <w:color w:val="000000"/>
                <w:sz w:val="20"/>
              </w:rPr>
              <w:t xml:space="preserve">effort 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>focuse</w:t>
            </w:r>
            <w:r w:rsidR="00434DE9">
              <w:rPr>
                <w:rFonts w:ascii="Times New Roman" w:hAnsi="Times New Roman" w:cs="Times New Roman"/>
                <w:color w:val="000000"/>
                <w:sz w:val="20"/>
              </w:rPr>
              <w:t>s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 xml:space="preserve"> on enhancing the level of service provided by the roadway transportation system by optimizing pavement surface characteristics.</w:t>
            </w:r>
            <w:r w:rsidR="00434DE9">
              <w:rPr>
                <w:rFonts w:ascii="Times New Roman" w:hAnsi="Times New Roman" w:cs="Times New Roman"/>
                <w:color w:val="000000"/>
                <w:sz w:val="20"/>
              </w:rPr>
              <w:t xml:space="preserve">  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>Phase</w:t>
            </w:r>
            <w:r w:rsidR="00D7665D">
              <w:rPr>
                <w:rFonts w:ascii="Times New Roman" w:hAnsi="Times New Roman" w:cs="Times New Roman"/>
                <w:color w:val="000000"/>
                <w:sz w:val="20"/>
              </w:rPr>
              <w:t>s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 xml:space="preserve"> I</w:t>
            </w:r>
            <w:r w:rsidR="00D7665D">
              <w:rPr>
                <w:rFonts w:ascii="Times New Roman" w:hAnsi="Times New Roman" w:cs="Times New Roman"/>
                <w:color w:val="000000"/>
                <w:sz w:val="20"/>
              </w:rPr>
              <w:t xml:space="preserve"> and 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 xml:space="preserve">II </w:t>
            </w:r>
            <w:r w:rsidR="00D7665D" w:rsidRPr="00434DE9">
              <w:rPr>
                <w:rFonts w:ascii="Times New Roman" w:hAnsi="Times New Roman" w:cs="Times New Roman"/>
                <w:color w:val="000000"/>
                <w:sz w:val="20"/>
              </w:rPr>
              <w:t>included regular verification and validation of the participants’ equipment, opportunities for technology transfer, and the accumulation of a significant body of knowledge on the measurement of pavement surface properties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 xml:space="preserve"> and the integration of these measurements into the next generation of pavement asset management systems. </w:t>
            </w:r>
            <w:r w:rsidR="00D7665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 xml:space="preserve">The </w:t>
            </w:r>
            <w:r w:rsidR="00D7665D">
              <w:rPr>
                <w:rFonts w:ascii="Times New Roman" w:hAnsi="Times New Roman" w:cs="Times New Roman"/>
                <w:color w:val="000000"/>
                <w:sz w:val="20"/>
              </w:rPr>
              <w:t xml:space="preserve">objective this phase is: (1) to 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>continuing to support the implementation of asset management approaches and tools that help improve the safety of our road networks by reducing the number of crashes and related fatalities</w:t>
            </w:r>
            <w:r w:rsidR="00D7665D">
              <w:rPr>
                <w:rFonts w:ascii="Times New Roman" w:hAnsi="Times New Roman" w:cs="Times New Roman"/>
                <w:color w:val="000000"/>
                <w:sz w:val="20"/>
              </w:rPr>
              <w:t xml:space="preserve">, and (2) </w:t>
            </w:r>
            <w:r w:rsidR="00434DE9" w:rsidRPr="00434DE9">
              <w:rPr>
                <w:rFonts w:ascii="Times New Roman" w:hAnsi="Times New Roman" w:cs="Times New Roman"/>
                <w:color w:val="000000"/>
                <w:sz w:val="20"/>
              </w:rPr>
              <w:t>to bring pavement design and evaluation experts together with maintenance and safety professionals to maximize the contribution of the pavement community Towards Zero Deaths on US highways.</w:t>
            </w:r>
          </w:p>
          <w:p w14:paraId="3928BA6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552E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93B844" w14:textId="77777777" w:rsidTr="00601EBD">
        <w:tc>
          <w:tcPr>
            <w:tcW w:w="10908" w:type="dxa"/>
          </w:tcPr>
          <w:p w14:paraId="59EA6DF7" w14:textId="77777777" w:rsidR="00E35E0F" w:rsidRPr="0015565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8974D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15473A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ABDDA2" w14:textId="4DF5A3FF" w:rsidR="00E108BB" w:rsidRDefault="00BA04F6" w:rsidP="00FF0875">
            <w:pPr>
              <w:pStyle w:val="ListBullet"/>
            </w:pPr>
            <w:r>
              <w:t xml:space="preserve">Participated in </w:t>
            </w:r>
            <w:r w:rsidR="00E108BB">
              <w:t xml:space="preserve">a follow-up to Peer Exchange </w:t>
            </w:r>
            <w:r w:rsidR="005A0DA6">
              <w:t xml:space="preserve">virtual </w:t>
            </w:r>
            <w:r w:rsidR="00E108BB">
              <w:t>meeting on J</w:t>
            </w:r>
            <w:r w:rsidR="005A0DA6">
              <w:t>anuary 4</w:t>
            </w:r>
            <w:r w:rsidR="005A0DA6" w:rsidRPr="005A0DA6">
              <w:rPr>
                <w:vertAlign w:val="superscript"/>
              </w:rPr>
              <w:t>th</w:t>
            </w:r>
            <w:r w:rsidR="005A0DA6">
              <w:t xml:space="preserve"> </w:t>
            </w:r>
            <w:r w:rsidR="00E108BB">
              <w:t xml:space="preserve">to discuss </w:t>
            </w:r>
            <w:r w:rsidR="005A0DA6">
              <w:t>any pending topics with</w:t>
            </w:r>
            <w:r w:rsidR="00E108BB">
              <w:t xml:space="preserve"> all the states where CPFM has made demonstrations to date.</w:t>
            </w:r>
          </w:p>
          <w:p w14:paraId="17325134" w14:textId="065F415D" w:rsidR="00EB30C8" w:rsidRDefault="00EB30C8" w:rsidP="00FF0875">
            <w:pPr>
              <w:pStyle w:val="ListBullet"/>
            </w:pPr>
            <w:r>
              <w:t xml:space="preserve">Andy Mergenmeier, FHWA liaison to the Pooled Fund, provided a brief </w:t>
            </w:r>
            <w:r w:rsidRPr="00EB30C8">
              <w:t>update to the TRB AKP50 Committee about the TPF-5(345/463) Managing the Pavement Properties for Improved Safety Pooled Fund</w:t>
            </w:r>
            <w:r>
              <w:t xml:space="preserve"> activities</w:t>
            </w:r>
            <w:r w:rsidRPr="00EB30C8">
              <w:t xml:space="preserve">, on </w:t>
            </w:r>
            <w:r>
              <w:t>Mon</w:t>
            </w:r>
            <w:r w:rsidRPr="00EB30C8">
              <w:t xml:space="preserve">day January </w:t>
            </w:r>
            <w:r>
              <w:t>9</w:t>
            </w:r>
            <w:r w:rsidRPr="00EB30C8">
              <w:t>, 202</w:t>
            </w:r>
            <w:r>
              <w:t>3</w:t>
            </w:r>
            <w:r w:rsidR="00BA04F6">
              <w:t xml:space="preserve">, during the </w:t>
            </w:r>
            <w:r w:rsidR="00BA04F6" w:rsidRPr="00EB30C8">
              <w:rPr>
                <w:i/>
              </w:rPr>
              <w:t>10</w:t>
            </w:r>
            <w:r w:rsidR="00BA04F6">
              <w:rPr>
                <w:i/>
              </w:rPr>
              <w:t>2</w:t>
            </w:r>
            <w:r w:rsidR="00BA04F6" w:rsidRPr="00EB30C8">
              <w:rPr>
                <w:i/>
                <w:vertAlign w:val="superscript"/>
              </w:rPr>
              <w:t>nd</w:t>
            </w:r>
            <w:r w:rsidR="00BA04F6">
              <w:rPr>
                <w:i/>
              </w:rPr>
              <w:t xml:space="preserve"> </w:t>
            </w:r>
            <w:r w:rsidR="00BA04F6" w:rsidRPr="00EB30C8">
              <w:rPr>
                <w:i/>
              </w:rPr>
              <w:t>Annual Meeting of the Transportation Research Board,</w:t>
            </w:r>
            <w:r w:rsidR="00BA04F6" w:rsidRPr="00EB30C8">
              <w:t xml:space="preserve"> January </w:t>
            </w:r>
            <w:r w:rsidR="00BA04F6">
              <w:t>8</w:t>
            </w:r>
            <w:r w:rsidR="00BA04F6" w:rsidRPr="00EB30C8">
              <w:t>-</w:t>
            </w:r>
            <w:r w:rsidR="00BA04F6">
              <w:t>12</w:t>
            </w:r>
            <w:r w:rsidR="00BA04F6" w:rsidRPr="00EB30C8">
              <w:t>, 202</w:t>
            </w:r>
            <w:r w:rsidR="00BA04F6">
              <w:t>3</w:t>
            </w:r>
            <w:r w:rsidR="00BA04F6" w:rsidRPr="00EB30C8">
              <w:t>, in Washington, D.C.</w:t>
            </w:r>
            <w:r w:rsidRPr="00EB30C8">
              <w:t>.</w:t>
            </w:r>
          </w:p>
          <w:p w14:paraId="062BB10A" w14:textId="0F5B3A0C" w:rsidR="00EB30C8" w:rsidRPr="00E108BB" w:rsidRDefault="00EB30C8" w:rsidP="00FF0875">
            <w:pPr>
              <w:pStyle w:val="ListBullet"/>
              <w:rPr>
                <w:i/>
                <w:iCs/>
              </w:rPr>
            </w:pPr>
            <w:r w:rsidRPr="00CD4181">
              <w:t xml:space="preserve">Edgar de León Izeppi </w:t>
            </w:r>
            <w:r>
              <w:t xml:space="preserve">participated </w:t>
            </w:r>
            <w:r w:rsidRPr="00CD4181">
              <w:t>in the A</w:t>
            </w:r>
            <w:r>
              <w:t>TSSA 53</w:t>
            </w:r>
            <w:r w:rsidRPr="00EB30C8">
              <w:rPr>
                <w:vertAlign w:val="superscript"/>
              </w:rPr>
              <w:t>rd</w:t>
            </w:r>
            <w:r>
              <w:t xml:space="preserve"> </w:t>
            </w:r>
            <w:r w:rsidRPr="00CD4181">
              <w:t xml:space="preserve">Annual Convention </w:t>
            </w:r>
            <w:r>
              <w:t>and Traffic Expo in Phoenix, Arizona</w:t>
            </w:r>
            <w:r w:rsidR="00E42EA7">
              <w:t>. H</w:t>
            </w:r>
            <w:r>
              <w:t xml:space="preserve">e made a presentation about </w:t>
            </w:r>
            <w:r w:rsidR="00E108BB">
              <w:t xml:space="preserve">the </w:t>
            </w:r>
            <w:r>
              <w:t xml:space="preserve">CPFM </w:t>
            </w:r>
            <w:r w:rsidR="00E108BB">
              <w:t xml:space="preserve">Project Update </w:t>
            </w:r>
            <w:r w:rsidR="00E42EA7">
              <w:t xml:space="preserve">in the session held on February 18 titled </w:t>
            </w:r>
            <w:r w:rsidR="00E108BB" w:rsidRPr="00E108BB">
              <w:rPr>
                <w:i/>
                <w:iCs/>
              </w:rPr>
              <w:t>Continuous Pavement Friction Measurement and Pavement Friction Management for Safety</w:t>
            </w:r>
            <w:r w:rsidR="00E108BB">
              <w:t xml:space="preserve"> with three state experiences with CPFM (Florida, Illinois, and Kentucky). </w:t>
            </w:r>
          </w:p>
          <w:p w14:paraId="32F8F4BD" w14:textId="2AB56CD7" w:rsidR="00E108BB" w:rsidRPr="00E108BB" w:rsidRDefault="00E108BB" w:rsidP="00FF0875">
            <w:pPr>
              <w:pStyle w:val="ListBullet"/>
            </w:pPr>
            <w:r w:rsidRPr="00E108BB">
              <w:t xml:space="preserve">Team members met with </w:t>
            </w:r>
            <w:r>
              <w:t xml:space="preserve">Pennsylvania </w:t>
            </w:r>
            <w:r w:rsidRPr="00E108BB">
              <w:t xml:space="preserve">DOT </w:t>
            </w:r>
            <w:r>
              <w:t>on January 23</w:t>
            </w:r>
            <w:r w:rsidRPr="00E108BB">
              <w:rPr>
                <w:vertAlign w:val="superscript"/>
              </w:rPr>
              <w:t>rd</w:t>
            </w:r>
            <w:r>
              <w:t>, with New Hampshire, Vermont, and Rhode Island DOTs on January 31</w:t>
            </w:r>
            <w:r w:rsidRPr="00E108BB">
              <w:rPr>
                <w:vertAlign w:val="superscript"/>
              </w:rPr>
              <w:t>st</w:t>
            </w:r>
            <w:r>
              <w:t>, and New Jersey DOT on February 27</w:t>
            </w:r>
            <w:r w:rsidRPr="00E108BB">
              <w:rPr>
                <w:vertAlign w:val="superscript"/>
              </w:rPr>
              <w:t>th</w:t>
            </w:r>
            <w:r>
              <w:t xml:space="preserve">, </w:t>
            </w:r>
            <w:r w:rsidRPr="00E108BB">
              <w:t>to participate in the close-out meeting for the demonstration project</w:t>
            </w:r>
            <w:r>
              <w:t>s</w:t>
            </w:r>
            <w:r w:rsidRPr="00E108BB">
              <w:t xml:space="preserve"> with the FHWA CPFM and PFM project</w:t>
            </w:r>
            <w:r>
              <w:t xml:space="preserve"> in their respective states</w:t>
            </w:r>
            <w:r w:rsidRPr="00E108BB">
              <w:t xml:space="preserve">. </w:t>
            </w:r>
            <w:r w:rsidR="005A0DA6">
              <w:t>All</w:t>
            </w:r>
            <w:r>
              <w:t xml:space="preserve"> the DOTs</w:t>
            </w:r>
            <w:r w:rsidRPr="00E108BB">
              <w:t xml:space="preserve"> expressed interest in organizing </w:t>
            </w:r>
            <w:r>
              <w:t xml:space="preserve">further </w:t>
            </w:r>
            <w:r w:rsidRPr="00E108BB">
              <w:t>demonstration projects in the future.</w:t>
            </w:r>
          </w:p>
          <w:p w14:paraId="5134E59D" w14:textId="3CA7A563" w:rsidR="005A0DA6" w:rsidRPr="005A0DA6" w:rsidRDefault="005A0DA6" w:rsidP="00FF0875">
            <w:pPr>
              <w:pStyle w:val="ListBullet"/>
            </w:pPr>
            <w:r w:rsidRPr="005A0DA6">
              <w:t>The Pooled Fund TAC members held virtual meeting</w:t>
            </w:r>
            <w:r>
              <w:t>s</w:t>
            </w:r>
            <w:r w:rsidRPr="005A0DA6">
              <w:t xml:space="preserve"> in this quarter</w:t>
            </w:r>
            <w:r>
              <w:t xml:space="preserve"> to discuss the following </w:t>
            </w:r>
            <w:r w:rsidRPr="005A0DA6">
              <w:t>topics:</w:t>
            </w:r>
          </w:p>
          <w:p w14:paraId="7559A820" w14:textId="0C1FD372" w:rsidR="005A0DA6" w:rsidRPr="005A0DA6" w:rsidRDefault="005A0DA6" w:rsidP="00FF0875">
            <w:pPr>
              <w:numPr>
                <w:ilvl w:val="1"/>
                <w:numId w:val="14"/>
              </w:numPr>
              <w:spacing w:before="60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On February 13, team members</w:t>
            </w:r>
            <w:r w:rsidRPr="005A0DA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gave an update on the travel arrangements for the TAC members attending the RPUG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and Rodeo </w:t>
            </w:r>
            <w:r w:rsidRPr="005A0DA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meeting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s</w:t>
            </w:r>
            <w:r w:rsidRPr="005A0DA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in 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Illinois </w:t>
            </w:r>
            <w:r w:rsidRPr="005A0DA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next April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/May</w:t>
            </w:r>
            <w:r w:rsidRPr="005A0DA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At this meeting the members agreed on allowing </w:t>
            </w:r>
            <w:r w:rsidR="00BA04F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consortium funds 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to be used to cover lunch for all Rodeo participants. All the travel information was provided for all members to complete their solicitations to their supervisors.</w:t>
            </w:r>
          </w:p>
          <w:p w14:paraId="0B93C9A4" w14:textId="06CCB81A" w:rsidR="005A0DA6" w:rsidRPr="005A0DA6" w:rsidRDefault="005A0DA6" w:rsidP="00FF0875">
            <w:pPr>
              <w:numPr>
                <w:ilvl w:val="1"/>
                <w:numId w:val="14"/>
              </w:numPr>
              <w:spacing w:before="60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On March 13, team members</w:t>
            </w:r>
            <w:r w:rsidRPr="005A0DA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completed </w:t>
            </w:r>
            <w:r w:rsidRPr="005A0DA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update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s</w:t>
            </w:r>
            <w:r w:rsidRPr="005A0DA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necessary for the </w:t>
            </w:r>
            <w:r w:rsidRPr="005A0DA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travel arrangements for the TAC members attending the RPUG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and Rodeo </w:t>
            </w:r>
            <w:r w:rsidRPr="005A0DA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meeting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s</w:t>
            </w:r>
            <w:r w:rsidRPr="005A0DA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in 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Illinois </w:t>
            </w:r>
            <w:r w:rsidRPr="005A0DA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next April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/May</w:t>
            </w:r>
            <w:r w:rsidRPr="005A0DA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It was also agreed that the date for closing out the 345 pooled fund would be on September 30, 2023, to finish the necessary paperwork and reporting needed for this task.</w:t>
            </w:r>
          </w:p>
          <w:p w14:paraId="1CA8B1C4" w14:textId="28966B7F" w:rsidR="004F4F5B" w:rsidRPr="00200631" w:rsidRDefault="005A0DA6" w:rsidP="00FF0875">
            <w:pPr>
              <w:pStyle w:val="ListBullet"/>
            </w:pPr>
            <w:r w:rsidRPr="00E108BB">
              <w:t>Team members</w:t>
            </w:r>
            <w:r>
              <w:t xml:space="preserve"> completed on February 28 all the tasks of the </w:t>
            </w:r>
            <w:r w:rsidRPr="00E108BB">
              <w:t>FHWA CPFM and PFM project</w:t>
            </w:r>
            <w:r>
              <w:t xml:space="preserve">, which included </w:t>
            </w:r>
            <w:r w:rsidR="00FF0875">
              <w:t>the final following documents, which will soon be available to the public:</w:t>
            </w:r>
          </w:p>
          <w:p w14:paraId="06D70E18" w14:textId="44CF9AD1" w:rsidR="00FF0875" w:rsidRPr="005A0DA6" w:rsidRDefault="00FF0875" w:rsidP="00FF0875">
            <w:pPr>
              <w:numPr>
                <w:ilvl w:val="1"/>
                <w:numId w:val="14"/>
              </w:numPr>
              <w:spacing w:before="60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Characterizing Road Safety Performance using Pavement Friction (</w:t>
            </w:r>
            <w:r w:rsidRPr="00FF0875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PUBLICATION NO. FHWA SA-23-006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).</w:t>
            </w:r>
          </w:p>
          <w:p w14:paraId="034475AE" w14:textId="61E5F57A" w:rsidR="00FF0875" w:rsidRPr="005A0DA6" w:rsidRDefault="00FF0875" w:rsidP="00FF0875">
            <w:pPr>
              <w:numPr>
                <w:ilvl w:val="1"/>
                <w:numId w:val="14"/>
              </w:numPr>
              <w:spacing w:before="60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Pavement Friction for Road Safety, a Primer on Friction Measurements and Management Methods (</w:t>
            </w:r>
            <w:r w:rsidRPr="00FF0875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PUBLICATION NO. FHWA SA-23-007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).</w:t>
            </w:r>
          </w:p>
          <w:p w14:paraId="25B1BC5B" w14:textId="4FEA74B3" w:rsidR="00E970B6" w:rsidRDefault="00E970B6" w:rsidP="00EB30C8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7410CDEF" w14:textId="77777777" w:rsidR="00081B03" w:rsidRDefault="00081B03" w:rsidP="00C31A0A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82ECA03" w14:textId="77777777" w:rsidTr="009E2027">
        <w:tc>
          <w:tcPr>
            <w:tcW w:w="10908" w:type="dxa"/>
          </w:tcPr>
          <w:p w14:paraId="43B943B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684B27" w14:textId="7B2DBF78" w:rsidR="00601EBD" w:rsidRPr="00161B11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61B11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161B1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2363C2" w14:textId="64D16019" w:rsidR="004C0ADB" w:rsidRDefault="00FF0875" w:rsidP="00EB30C8">
            <w:pPr>
              <w:pStyle w:val="ListBullet"/>
            </w:pPr>
            <w:r>
              <w:t>The 2023 Rodeo will be held at the ICART test track in Highland, Illinois on April 25-28. The next TAC meeting will be held after RPUG 2023 in O’Fallon, Illinois on May 4</w:t>
            </w:r>
            <w:r w:rsidRPr="00FF0875">
              <w:rPr>
                <w:vertAlign w:val="superscript"/>
              </w:rPr>
              <w:t>th</w:t>
            </w:r>
            <w:r>
              <w:t>, 2023.</w:t>
            </w:r>
          </w:p>
          <w:p w14:paraId="461F63F9" w14:textId="101B9572" w:rsidR="00FF0875" w:rsidRDefault="00FF0875" w:rsidP="00EB30C8">
            <w:pPr>
              <w:pStyle w:val="ListBullet"/>
            </w:pPr>
            <w:r>
              <w:t>The Rodeo results will be processed and analyzed and presented to the TAC members following its completion.</w:t>
            </w:r>
          </w:p>
          <w:p w14:paraId="0DDE0710" w14:textId="3BFF6B9F" w:rsidR="00FF0875" w:rsidRDefault="00FF0875" w:rsidP="00EB30C8">
            <w:pPr>
              <w:pStyle w:val="ListBullet"/>
            </w:pPr>
            <w:r>
              <w:t>Work on the RNS task groups should resume after the Rodeo/</w:t>
            </w:r>
            <w:proofErr w:type="spellStart"/>
            <w:r>
              <w:t>RPUG</w:t>
            </w:r>
            <w:proofErr w:type="spellEnd"/>
            <w:r>
              <w:t xml:space="preserve"> events.</w:t>
            </w:r>
          </w:p>
          <w:p w14:paraId="66579F74" w14:textId="64C47BF6" w:rsidR="00FF0875" w:rsidRPr="004C0ADB" w:rsidRDefault="00FF0875" w:rsidP="00EB30C8">
            <w:pPr>
              <w:pStyle w:val="ListBullet"/>
            </w:pPr>
            <w:r>
              <w:t xml:space="preserve">Field work with the new macrotexture </w:t>
            </w:r>
            <w:r w:rsidR="00DF59DE">
              <w:t xml:space="preserve">line </w:t>
            </w:r>
            <w:r>
              <w:t xml:space="preserve">laser in the FHWA CPFM truck is expected to start with the new FHWA project </w:t>
            </w:r>
            <w:r w:rsidRPr="00FF0875">
              <w:rPr>
                <w:i/>
                <w:iCs/>
              </w:rPr>
              <w:t>“Pavement Friction Management and Continuous Pavement Friction Measurement to Intersection Safety Focus States”</w:t>
            </w:r>
            <w:r>
              <w:t xml:space="preserve"> which will perform measurements in six (6) starting in the next quarter</w:t>
            </w:r>
            <w:r w:rsidR="00DF59DE">
              <w:t>. The FHWA CPFM will also be able to measure IRI with the new accelerometers that will also be installed with the new line laser for macrotexture.</w:t>
            </w:r>
          </w:p>
          <w:p w14:paraId="3F72F506" w14:textId="00D9D567" w:rsidR="006A15C6" w:rsidRDefault="006A15C6" w:rsidP="00EB30C8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76089EF7" w14:textId="50D076DF" w:rsidR="00037FBC" w:rsidRDefault="00037FBC" w:rsidP="00161B1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86D271F" w14:textId="3E82AF7F" w:rsidR="00BA04F6" w:rsidRDefault="00BA04F6" w:rsidP="00BA04F6">
      <w:pPr>
        <w:tabs>
          <w:tab w:val="left" w:pos="8932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4E32AAC3" w14:textId="77777777" w:rsidTr="00601EBD">
        <w:tc>
          <w:tcPr>
            <w:tcW w:w="10908" w:type="dxa"/>
          </w:tcPr>
          <w:p w14:paraId="43C76DA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C7811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418BB2E9" w14:textId="04A27007" w:rsidR="00325D71" w:rsidRDefault="00325D7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B077BC" w14:textId="1AEE542C" w:rsidR="004C0ADB" w:rsidRDefault="004C0AD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FCC8A" w14:textId="12F69896" w:rsidR="004C0ADB" w:rsidRDefault="004C0AD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486CCA" w14:textId="77777777" w:rsidR="004C0ADB" w:rsidRDefault="004C0AD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C6C9A5" w14:textId="282BA9F7" w:rsidR="00FF6695" w:rsidRDefault="00FF6695" w:rsidP="007C0A0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62EE3D" w14:textId="13C73C20" w:rsidR="00325D71" w:rsidRDefault="00325D71" w:rsidP="009E326D">
      <w:pPr>
        <w:spacing w:after="0" w:line="240" w:lineRule="auto"/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FC1AB3A" w14:textId="77777777" w:rsidTr="00601EBD">
        <w:tc>
          <w:tcPr>
            <w:tcW w:w="10908" w:type="dxa"/>
          </w:tcPr>
          <w:p w14:paraId="08CDE35E" w14:textId="217486C5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984F8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Circumstance affecting project or budget.  (Please describe any challenges encountered or anticipated that 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>set forth in the agreement, along with recommended solutions to those problems).</w:t>
            </w:r>
          </w:p>
          <w:p w14:paraId="3730121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20478C" w14:textId="5A3EE5BE" w:rsidR="00601EBD" w:rsidRDefault="00601EBD" w:rsidP="006A15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1B1A03" w14:textId="39331E5A" w:rsidR="006A15C6" w:rsidRPr="006A15C6" w:rsidRDefault="006A15C6" w:rsidP="006A15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3D28426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74E613E9" w14:textId="77777777" w:rsidTr="00E35E0F">
        <w:tc>
          <w:tcPr>
            <w:tcW w:w="10908" w:type="dxa"/>
          </w:tcPr>
          <w:p w14:paraId="0E24628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4E380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6D5AEF5" w14:textId="2F20882F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154978" w14:textId="77777777" w:rsidR="009E326D" w:rsidRDefault="009E32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700CDD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96CB41" w14:textId="3E40C1C6" w:rsidR="00E35E0F" w:rsidRPr="008E50C7" w:rsidRDefault="00E35E0F" w:rsidP="00325D71">
      <w:pPr>
        <w:tabs>
          <w:tab w:val="left" w:pos="9002"/>
        </w:tabs>
        <w:spacing w:after="0"/>
        <w:ind w:left="-720" w:right="-720"/>
        <w:rPr>
          <w:rFonts w:ascii="Arial" w:hAnsi="Arial" w:cs="Arial"/>
          <w:sz w:val="12"/>
          <w:szCs w:val="20"/>
        </w:rPr>
      </w:pPr>
    </w:p>
    <w:sectPr w:rsidR="00E35E0F" w:rsidRPr="008E50C7" w:rsidSect="004E14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185C" w14:textId="77777777" w:rsidR="002101EC" w:rsidRDefault="002101EC" w:rsidP="00106C83">
      <w:pPr>
        <w:spacing w:after="0" w:line="240" w:lineRule="auto"/>
      </w:pPr>
      <w:r>
        <w:separator/>
      </w:r>
    </w:p>
  </w:endnote>
  <w:endnote w:type="continuationSeparator" w:id="0">
    <w:p w14:paraId="4E71CAE2" w14:textId="77777777" w:rsidR="002101EC" w:rsidRDefault="002101EC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5AFC7" w14:textId="77777777" w:rsidR="00BA04F6" w:rsidRDefault="00BA04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6996E" w14:textId="7D1BD355" w:rsidR="007C6596" w:rsidRPr="00FF6695" w:rsidRDefault="007C6596" w:rsidP="00785665">
    <w:pPr>
      <w:pStyle w:val="Footer"/>
      <w:ind w:left="-360"/>
      <w:rPr>
        <w:sz w:val="18"/>
      </w:rPr>
    </w:pPr>
    <w:proofErr w:type="spellStart"/>
    <w:r w:rsidRPr="00FF6695">
      <w:rPr>
        <w:sz w:val="18"/>
      </w:rPr>
      <w:t>TPF</w:t>
    </w:r>
    <w:proofErr w:type="spellEnd"/>
    <w:r w:rsidRPr="00FF6695">
      <w:rPr>
        <w:sz w:val="18"/>
      </w:rPr>
      <w:t xml:space="preserve"> Program Standar</w:t>
    </w:r>
    <w:r w:rsidR="00C661C3" w:rsidRPr="00FF6695">
      <w:rPr>
        <w:sz w:val="18"/>
      </w:rPr>
      <w:t xml:space="preserve">d Quarterly Reporting Format </w:t>
    </w:r>
    <w:r w:rsidR="00FF6695" w:rsidRPr="00FF6695">
      <w:rPr>
        <w:sz w:val="18"/>
      </w:rPr>
      <w:tab/>
    </w:r>
    <w:r w:rsidR="00FF6695" w:rsidRPr="00FF6695">
      <w:rPr>
        <w:sz w:val="18"/>
      </w:rPr>
      <w:tab/>
      <w:t>0</w:t>
    </w:r>
    <w:r w:rsidR="00BA04F6">
      <w:rPr>
        <w:sz w:val="18"/>
      </w:rPr>
      <w:t>3</w:t>
    </w:r>
    <w:r w:rsidRPr="00FF6695">
      <w:rPr>
        <w:sz w:val="18"/>
      </w:rPr>
      <w:t>/20</w:t>
    </w:r>
    <w:r w:rsidR="00BA04F6">
      <w:rPr>
        <w:sz w:val="18"/>
      </w:rPr>
      <w:t>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08D9" w14:textId="77777777" w:rsidR="00BA04F6" w:rsidRDefault="00BA0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B5841" w14:textId="77777777" w:rsidR="002101EC" w:rsidRDefault="002101EC" w:rsidP="00106C83">
      <w:pPr>
        <w:spacing w:after="0" w:line="240" w:lineRule="auto"/>
      </w:pPr>
      <w:r>
        <w:separator/>
      </w:r>
    </w:p>
  </w:footnote>
  <w:footnote w:type="continuationSeparator" w:id="0">
    <w:p w14:paraId="59BB71A8" w14:textId="77777777" w:rsidR="002101EC" w:rsidRDefault="002101EC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156A" w14:textId="77777777" w:rsidR="00BA04F6" w:rsidRDefault="00BA0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367E" w14:textId="77777777" w:rsidR="00BA04F6" w:rsidRDefault="00BA04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A06D" w14:textId="77777777" w:rsidR="00BA04F6" w:rsidRDefault="00BA0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1FF0"/>
    <w:multiLevelType w:val="hybridMultilevel"/>
    <w:tmpl w:val="792046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510FECC">
      <w:start w:val="1"/>
      <w:numFmt w:val="bullet"/>
      <w:lvlText w:val="-"/>
      <w:lvlJc w:val="left"/>
      <w:pPr>
        <w:ind w:left="3240" w:hanging="360"/>
      </w:pPr>
      <w:rPr>
        <w:rFonts w:ascii="Arial" w:hAnsi="Arial" w:cs="Times New Roman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A17369C"/>
    <w:multiLevelType w:val="hybridMultilevel"/>
    <w:tmpl w:val="6EDA13FC"/>
    <w:lvl w:ilvl="0" w:tplc="03227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5228A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5D5AF1"/>
    <w:multiLevelType w:val="hybridMultilevel"/>
    <w:tmpl w:val="DF44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06ED"/>
    <w:multiLevelType w:val="hybridMultilevel"/>
    <w:tmpl w:val="A3EE5466"/>
    <w:lvl w:ilvl="0" w:tplc="3F2C04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44AD1"/>
    <w:multiLevelType w:val="hybridMultilevel"/>
    <w:tmpl w:val="6602E098"/>
    <w:lvl w:ilvl="0" w:tplc="E56C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C0B3B"/>
    <w:multiLevelType w:val="hybridMultilevel"/>
    <w:tmpl w:val="F1E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60BD0"/>
    <w:multiLevelType w:val="hybridMultilevel"/>
    <w:tmpl w:val="DB14092C"/>
    <w:lvl w:ilvl="0" w:tplc="A2C02146">
      <w:start w:val="1"/>
      <w:numFmt w:val="bullet"/>
      <w:lvlText w:val=""/>
      <w:lvlJc w:val="left"/>
      <w:pPr>
        <w:ind w:left="-36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3F8F01E1"/>
    <w:multiLevelType w:val="hybridMultilevel"/>
    <w:tmpl w:val="54C2307C"/>
    <w:lvl w:ilvl="0" w:tplc="60F2A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06B50"/>
    <w:multiLevelType w:val="singleLevel"/>
    <w:tmpl w:val="FFFFFFFF"/>
    <w:lvl w:ilvl="0">
      <w:numFmt w:val="decimal"/>
      <w:pStyle w:val="Heading6"/>
      <w:lvlText w:val="%1"/>
      <w:legacy w:legacy="1" w:legacySpace="0" w:legacyIndent="0"/>
      <w:lvlJc w:val="left"/>
    </w:lvl>
  </w:abstractNum>
  <w:abstractNum w:abstractNumId="9" w15:restartNumberingAfterBreak="0">
    <w:nsid w:val="4DBF6BFF"/>
    <w:multiLevelType w:val="hybridMultilevel"/>
    <w:tmpl w:val="ECAC123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284A77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8D1797"/>
    <w:multiLevelType w:val="hybridMultilevel"/>
    <w:tmpl w:val="C16608DE"/>
    <w:lvl w:ilvl="0" w:tplc="E56C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15DF6"/>
    <w:multiLevelType w:val="hybridMultilevel"/>
    <w:tmpl w:val="06E8427E"/>
    <w:lvl w:ilvl="0" w:tplc="162C1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5228A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E5326B"/>
    <w:multiLevelType w:val="hybridMultilevel"/>
    <w:tmpl w:val="062CFEEC"/>
    <w:lvl w:ilvl="0" w:tplc="877AB2F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8043D"/>
    <w:multiLevelType w:val="hybridMultilevel"/>
    <w:tmpl w:val="7ECA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53AF5"/>
    <w:multiLevelType w:val="hybridMultilevel"/>
    <w:tmpl w:val="A746BE58"/>
    <w:lvl w:ilvl="0" w:tplc="EDA8FFC8">
      <w:start w:val="1"/>
      <w:numFmt w:val="bullet"/>
      <w:pStyle w:val="List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2C421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774F4A"/>
    <w:multiLevelType w:val="hybridMultilevel"/>
    <w:tmpl w:val="04CC71CA"/>
    <w:lvl w:ilvl="0" w:tplc="CDA819F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35854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6"/>
  </w:num>
  <w:num w:numId="5">
    <w:abstractNumId w:val="12"/>
  </w:num>
  <w:num w:numId="6">
    <w:abstractNumId w:val="4"/>
  </w:num>
  <w:num w:numId="7">
    <w:abstractNumId w:val="8"/>
  </w:num>
  <w:num w:numId="8">
    <w:abstractNumId w:val="13"/>
  </w:num>
  <w:num w:numId="9">
    <w:abstractNumId w:val="9"/>
  </w:num>
  <w:num w:numId="10">
    <w:abstractNumId w:val="5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4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13654"/>
    <w:rsid w:val="00015C19"/>
    <w:rsid w:val="00037FBC"/>
    <w:rsid w:val="00043A25"/>
    <w:rsid w:val="000639FA"/>
    <w:rsid w:val="00071138"/>
    <w:rsid w:val="000736BB"/>
    <w:rsid w:val="00073DB6"/>
    <w:rsid w:val="00081B03"/>
    <w:rsid w:val="000A026F"/>
    <w:rsid w:val="000B47C1"/>
    <w:rsid w:val="000B665A"/>
    <w:rsid w:val="000F310F"/>
    <w:rsid w:val="001067EB"/>
    <w:rsid w:val="00106C83"/>
    <w:rsid w:val="001116BE"/>
    <w:rsid w:val="001155C8"/>
    <w:rsid w:val="00150BE8"/>
    <w:rsid w:val="001547D0"/>
    <w:rsid w:val="0015565F"/>
    <w:rsid w:val="00161153"/>
    <w:rsid w:val="00161B11"/>
    <w:rsid w:val="001C6A9D"/>
    <w:rsid w:val="001E1289"/>
    <w:rsid w:val="00200631"/>
    <w:rsid w:val="002101EC"/>
    <w:rsid w:val="0021446D"/>
    <w:rsid w:val="002153F0"/>
    <w:rsid w:val="00217989"/>
    <w:rsid w:val="0022278A"/>
    <w:rsid w:val="00243BCD"/>
    <w:rsid w:val="00252329"/>
    <w:rsid w:val="00261012"/>
    <w:rsid w:val="00286045"/>
    <w:rsid w:val="00292D04"/>
    <w:rsid w:val="00293FD8"/>
    <w:rsid w:val="002A3C74"/>
    <w:rsid w:val="002A7632"/>
    <w:rsid w:val="002A79C8"/>
    <w:rsid w:val="002B19D5"/>
    <w:rsid w:val="002C1EFB"/>
    <w:rsid w:val="002D3790"/>
    <w:rsid w:val="002E2339"/>
    <w:rsid w:val="00324DF4"/>
    <w:rsid w:val="00325D71"/>
    <w:rsid w:val="0032621C"/>
    <w:rsid w:val="00336E75"/>
    <w:rsid w:val="0034001D"/>
    <w:rsid w:val="00346ACA"/>
    <w:rsid w:val="00356277"/>
    <w:rsid w:val="003607C7"/>
    <w:rsid w:val="0038705A"/>
    <w:rsid w:val="00387A28"/>
    <w:rsid w:val="003A46E3"/>
    <w:rsid w:val="003B29F7"/>
    <w:rsid w:val="003C6D71"/>
    <w:rsid w:val="003E59FA"/>
    <w:rsid w:val="003F239C"/>
    <w:rsid w:val="003F4D26"/>
    <w:rsid w:val="003F7C7B"/>
    <w:rsid w:val="0040025E"/>
    <w:rsid w:val="004144E6"/>
    <w:rsid w:val="004156B2"/>
    <w:rsid w:val="00434DE9"/>
    <w:rsid w:val="00437734"/>
    <w:rsid w:val="00474F12"/>
    <w:rsid w:val="00477F5F"/>
    <w:rsid w:val="0048189C"/>
    <w:rsid w:val="0048228E"/>
    <w:rsid w:val="00487387"/>
    <w:rsid w:val="004A0469"/>
    <w:rsid w:val="004C0ADB"/>
    <w:rsid w:val="004C51C9"/>
    <w:rsid w:val="004E1234"/>
    <w:rsid w:val="004E14DC"/>
    <w:rsid w:val="004F4F5B"/>
    <w:rsid w:val="00514190"/>
    <w:rsid w:val="00535598"/>
    <w:rsid w:val="00537E1D"/>
    <w:rsid w:val="0054112E"/>
    <w:rsid w:val="00543A43"/>
    <w:rsid w:val="00543B73"/>
    <w:rsid w:val="00546CA6"/>
    <w:rsid w:val="00547EE3"/>
    <w:rsid w:val="00551D8A"/>
    <w:rsid w:val="00567EB7"/>
    <w:rsid w:val="005760C2"/>
    <w:rsid w:val="005808F9"/>
    <w:rsid w:val="00581B36"/>
    <w:rsid w:val="00583E8E"/>
    <w:rsid w:val="005910D7"/>
    <w:rsid w:val="005A03BB"/>
    <w:rsid w:val="005A0DA6"/>
    <w:rsid w:val="005A6F03"/>
    <w:rsid w:val="005A7C69"/>
    <w:rsid w:val="005E39D5"/>
    <w:rsid w:val="005F4FF1"/>
    <w:rsid w:val="00601EBD"/>
    <w:rsid w:val="006125CD"/>
    <w:rsid w:val="006245F6"/>
    <w:rsid w:val="0062583A"/>
    <w:rsid w:val="00627D7C"/>
    <w:rsid w:val="006475FB"/>
    <w:rsid w:val="00660BBD"/>
    <w:rsid w:val="00663063"/>
    <w:rsid w:val="006640FE"/>
    <w:rsid w:val="00682C5E"/>
    <w:rsid w:val="006A15C6"/>
    <w:rsid w:val="006B23AF"/>
    <w:rsid w:val="006E36E5"/>
    <w:rsid w:val="006F4DE7"/>
    <w:rsid w:val="00710D77"/>
    <w:rsid w:val="00713B22"/>
    <w:rsid w:val="00721EB1"/>
    <w:rsid w:val="00725872"/>
    <w:rsid w:val="00743C01"/>
    <w:rsid w:val="007778D4"/>
    <w:rsid w:val="00781985"/>
    <w:rsid w:val="00782C81"/>
    <w:rsid w:val="00785665"/>
    <w:rsid w:val="00790C4A"/>
    <w:rsid w:val="007B002E"/>
    <w:rsid w:val="007C0A0D"/>
    <w:rsid w:val="007C6596"/>
    <w:rsid w:val="007E3929"/>
    <w:rsid w:val="007E5406"/>
    <w:rsid w:val="007E5BD2"/>
    <w:rsid w:val="007F0B49"/>
    <w:rsid w:val="0082086B"/>
    <w:rsid w:val="00823070"/>
    <w:rsid w:val="00834893"/>
    <w:rsid w:val="0084311A"/>
    <w:rsid w:val="008478B2"/>
    <w:rsid w:val="00860DCA"/>
    <w:rsid w:val="00865C89"/>
    <w:rsid w:val="00871DB0"/>
    <w:rsid w:val="00872F18"/>
    <w:rsid w:val="00874EF7"/>
    <w:rsid w:val="008778F7"/>
    <w:rsid w:val="008A0888"/>
    <w:rsid w:val="008A6C9B"/>
    <w:rsid w:val="008B0F4B"/>
    <w:rsid w:val="008C13A1"/>
    <w:rsid w:val="008E50C7"/>
    <w:rsid w:val="008F6625"/>
    <w:rsid w:val="00901FD6"/>
    <w:rsid w:val="009056D1"/>
    <w:rsid w:val="009122B6"/>
    <w:rsid w:val="009232A1"/>
    <w:rsid w:val="00937DF9"/>
    <w:rsid w:val="00953360"/>
    <w:rsid w:val="00954876"/>
    <w:rsid w:val="0098292D"/>
    <w:rsid w:val="00993FA4"/>
    <w:rsid w:val="00994250"/>
    <w:rsid w:val="009A4F69"/>
    <w:rsid w:val="009B6D14"/>
    <w:rsid w:val="009E1205"/>
    <w:rsid w:val="009E2027"/>
    <w:rsid w:val="009E2199"/>
    <w:rsid w:val="009E3189"/>
    <w:rsid w:val="009E326D"/>
    <w:rsid w:val="009E37FD"/>
    <w:rsid w:val="009E40DC"/>
    <w:rsid w:val="009F5529"/>
    <w:rsid w:val="00A03A73"/>
    <w:rsid w:val="00A150C1"/>
    <w:rsid w:val="00A223F7"/>
    <w:rsid w:val="00A426AA"/>
    <w:rsid w:val="00A43875"/>
    <w:rsid w:val="00A63677"/>
    <w:rsid w:val="00A6455C"/>
    <w:rsid w:val="00A67C21"/>
    <w:rsid w:val="00A75FA6"/>
    <w:rsid w:val="00A83399"/>
    <w:rsid w:val="00A86794"/>
    <w:rsid w:val="00A90A9C"/>
    <w:rsid w:val="00A96CEC"/>
    <w:rsid w:val="00AC21BA"/>
    <w:rsid w:val="00AC3659"/>
    <w:rsid w:val="00AC6C20"/>
    <w:rsid w:val="00AE46B0"/>
    <w:rsid w:val="00AE6ED9"/>
    <w:rsid w:val="00AF7BED"/>
    <w:rsid w:val="00B2185C"/>
    <w:rsid w:val="00B242E2"/>
    <w:rsid w:val="00B30B4F"/>
    <w:rsid w:val="00B37675"/>
    <w:rsid w:val="00B66A21"/>
    <w:rsid w:val="00B77F66"/>
    <w:rsid w:val="00B913E8"/>
    <w:rsid w:val="00B97171"/>
    <w:rsid w:val="00BA04F6"/>
    <w:rsid w:val="00BA26ED"/>
    <w:rsid w:val="00BA3B78"/>
    <w:rsid w:val="00BA4370"/>
    <w:rsid w:val="00BA7D0E"/>
    <w:rsid w:val="00BC77BD"/>
    <w:rsid w:val="00BD4281"/>
    <w:rsid w:val="00BD568D"/>
    <w:rsid w:val="00BF65F3"/>
    <w:rsid w:val="00C00EA1"/>
    <w:rsid w:val="00C12257"/>
    <w:rsid w:val="00C13753"/>
    <w:rsid w:val="00C242B0"/>
    <w:rsid w:val="00C31A0A"/>
    <w:rsid w:val="00C36549"/>
    <w:rsid w:val="00C57652"/>
    <w:rsid w:val="00C661C3"/>
    <w:rsid w:val="00C74EA5"/>
    <w:rsid w:val="00C75E1F"/>
    <w:rsid w:val="00C84F67"/>
    <w:rsid w:val="00CA58CE"/>
    <w:rsid w:val="00CC4F3E"/>
    <w:rsid w:val="00CE35C0"/>
    <w:rsid w:val="00CE652D"/>
    <w:rsid w:val="00CE6EEB"/>
    <w:rsid w:val="00CF0482"/>
    <w:rsid w:val="00D05DC0"/>
    <w:rsid w:val="00D11019"/>
    <w:rsid w:val="00D22FE6"/>
    <w:rsid w:val="00D27742"/>
    <w:rsid w:val="00D3415F"/>
    <w:rsid w:val="00D4425A"/>
    <w:rsid w:val="00D55EF6"/>
    <w:rsid w:val="00D7665D"/>
    <w:rsid w:val="00D96AE3"/>
    <w:rsid w:val="00DA4934"/>
    <w:rsid w:val="00DA6A82"/>
    <w:rsid w:val="00DB3E7C"/>
    <w:rsid w:val="00DC1E9F"/>
    <w:rsid w:val="00DC3ED7"/>
    <w:rsid w:val="00DD21DD"/>
    <w:rsid w:val="00DD6162"/>
    <w:rsid w:val="00DD7144"/>
    <w:rsid w:val="00DF29C6"/>
    <w:rsid w:val="00DF59DE"/>
    <w:rsid w:val="00E04D6D"/>
    <w:rsid w:val="00E0596B"/>
    <w:rsid w:val="00E07306"/>
    <w:rsid w:val="00E108BB"/>
    <w:rsid w:val="00E33481"/>
    <w:rsid w:val="00E33DCD"/>
    <w:rsid w:val="00E35E0F"/>
    <w:rsid w:val="00E371D1"/>
    <w:rsid w:val="00E42A12"/>
    <w:rsid w:val="00E42EA7"/>
    <w:rsid w:val="00E53738"/>
    <w:rsid w:val="00E57F1E"/>
    <w:rsid w:val="00E744D1"/>
    <w:rsid w:val="00E749B6"/>
    <w:rsid w:val="00E965BC"/>
    <w:rsid w:val="00E970B6"/>
    <w:rsid w:val="00EA5953"/>
    <w:rsid w:val="00EB2D61"/>
    <w:rsid w:val="00EB30C8"/>
    <w:rsid w:val="00EC3C13"/>
    <w:rsid w:val="00ED5F67"/>
    <w:rsid w:val="00EF08AE"/>
    <w:rsid w:val="00EF5790"/>
    <w:rsid w:val="00F00AD8"/>
    <w:rsid w:val="00F1051C"/>
    <w:rsid w:val="00F32697"/>
    <w:rsid w:val="00F56588"/>
    <w:rsid w:val="00F57425"/>
    <w:rsid w:val="00F647BC"/>
    <w:rsid w:val="00F90869"/>
    <w:rsid w:val="00F910EB"/>
    <w:rsid w:val="00F91ADD"/>
    <w:rsid w:val="00F96A2F"/>
    <w:rsid w:val="00FB57E9"/>
    <w:rsid w:val="00FE0C50"/>
    <w:rsid w:val="00FE34B9"/>
    <w:rsid w:val="00FE5E80"/>
    <w:rsid w:val="00FE6120"/>
    <w:rsid w:val="00FF0875"/>
    <w:rsid w:val="00FF32BE"/>
    <w:rsid w:val="00FF3F47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CF6C0"/>
  <w15:docId w15:val="{CFA56775-7756-45FC-A58F-8D1463F4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23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43BCD"/>
    <w:pPr>
      <w:numPr>
        <w:numId w:val="7"/>
      </w:numPr>
      <w:tabs>
        <w:tab w:val="left" w:pos="360"/>
      </w:tabs>
      <w:spacing w:before="240" w:after="60" w:line="240" w:lineRule="auto"/>
      <w:ind w:left="360" w:hanging="360"/>
      <w:jc w:val="both"/>
      <w:outlineLvl w:val="5"/>
    </w:pPr>
    <w:rPr>
      <w:rFonts w:ascii="Arial" w:eastAsia="Times New Roman" w:hAnsi="Arial" w:cs="Times New Roman"/>
      <w:i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99"/>
    <w:qFormat/>
    <w:rsid w:val="00D27742"/>
    <w:pPr>
      <w:ind w:left="720"/>
      <w:contextualSpacing/>
    </w:pPr>
  </w:style>
  <w:style w:type="paragraph" w:customStyle="1" w:styleId="Default">
    <w:name w:val="Default"/>
    <w:rsid w:val="00D27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Bullet">
    <w:name w:val="List Bullet"/>
    <w:basedOn w:val="Normal"/>
    <w:autoRedefine/>
    <w:rsid w:val="00EB30C8"/>
    <w:pPr>
      <w:numPr>
        <w:numId w:val="14"/>
      </w:numPr>
      <w:spacing w:before="60" w:after="0" w:line="240" w:lineRule="auto"/>
    </w:pPr>
    <w:rPr>
      <w:rFonts w:ascii="Times New Roman" w:eastAsia="Times New Roman" w:hAnsi="Times New Roman" w:cs="Times New Roman"/>
      <w:bCs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22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43BCD"/>
    <w:rPr>
      <w:rFonts w:ascii="Arial" w:eastAsia="Times New Roman" w:hAnsi="Arial" w:cs="Times New Roman"/>
      <w:i/>
      <w:snapToGrid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C3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C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C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C1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D21D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B23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0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an.Diefenderfer@VDOT.Virginia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098F7-BB41-490E-9282-FF4EE970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Gerardo Flintsch</cp:lastModifiedBy>
  <cp:revision>2</cp:revision>
  <cp:lastPrinted>2015-01-29T15:17:00Z</cp:lastPrinted>
  <dcterms:created xsi:type="dcterms:W3CDTF">2023-05-24T13:00:00Z</dcterms:created>
  <dcterms:modified xsi:type="dcterms:W3CDTF">2023-05-24T13:00:00Z</dcterms:modified>
</cp:coreProperties>
</file>