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9258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67D192E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DFE2A4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AA87E4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.</w:t>
      </w:r>
    </w:p>
    <w:p w14:paraId="3D01EC5F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DD5CC49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E0AC2D7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DE1A66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792"/>
        <w:gridCol w:w="6"/>
        <w:gridCol w:w="1620"/>
        <w:gridCol w:w="2058"/>
        <w:gridCol w:w="12"/>
        <w:gridCol w:w="3420"/>
      </w:tblGrid>
      <w:tr w:rsidR="00551D8A" w14:paraId="68164006" w14:textId="77777777" w:rsidTr="00743C01">
        <w:trPr>
          <w:trHeight w:val="1997"/>
        </w:trPr>
        <w:tc>
          <w:tcPr>
            <w:tcW w:w="5418" w:type="dxa"/>
            <w:gridSpan w:val="3"/>
          </w:tcPr>
          <w:p w14:paraId="34B946EF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42E31B49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D9A9EE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CEE686" w14:textId="77777777" w:rsidR="00AC3659" w:rsidRPr="00D3415F" w:rsidRDefault="00AC3659" w:rsidP="00AC3659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345</w:t>
            </w: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 </w:t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Pavement Surface Properties Consortium 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– A Research Program at the Virginia Smart Road </w:t>
            </w:r>
            <w:r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930850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Phase II</w:t>
            </w:r>
          </w:p>
          <w:p w14:paraId="4F6E7E04" w14:textId="77777777"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54966" w14:textId="77777777"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DC81C" w14:textId="77777777" w:rsidR="00E35E0F" w:rsidRPr="00F32697" w:rsidRDefault="00E35E0F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5432D64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D524DA9" w14:textId="0F87AEA9" w:rsidR="00551D8A" w:rsidRDefault="00726BC0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197A2244" w14:textId="2A078E72" w:rsidR="00551D8A" w:rsidRDefault="009741C6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 w:rsidR="00726BC0"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D814452" w14:textId="77777777" w:rsidR="00551D8A" w:rsidRDefault="001457E1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326F1C7" w14:textId="4DDB6598" w:rsidR="00551D8A" w:rsidRPr="00F32697" w:rsidRDefault="009741C6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 w:rsidR="006119FC"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52830767" w14:textId="77777777" w:rsidTr="00874EF7">
        <w:tc>
          <w:tcPr>
            <w:tcW w:w="10908" w:type="dxa"/>
            <w:gridSpan w:val="6"/>
          </w:tcPr>
          <w:p w14:paraId="38A31320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63219082" w14:textId="77777777" w:rsidR="00535598" w:rsidRPr="00F32697" w:rsidRDefault="00D27742" w:rsidP="00D27742">
            <w:pPr>
              <w:pStyle w:val="Default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F32697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Pavement Surface Properties Consortium: A Research Program</w:t>
            </w:r>
          </w:p>
          <w:p w14:paraId="19B1BBEC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0B" w:rsidRPr="00B66A21" w14:paraId="562ECF95" w14:textId="77777777" w:rsidTr="0089620B">
        <w:tc>
          <w:tcPr>
            <w:tcW w:w="3792" w:type="dxa"/>
          </w:tcPr>
          <w:p w14:paraId="2E9D4542" w14:textId="77777777" w:rsidR="0089620B" w:rsidRDefault="0089620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2106815"/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276C7C5" w14:textId="77777777" w:rsidR="0089620B" w:rsidRPr="00C13753" w:rsidRDefault="0089620B" w:rsidP="000A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Diefenderfer</w:t>
            </w:r>
          </w:p>
        </w:tc>
        <w:tc>
          <w:tcPr>
            <w:tcW w:w="3684" w:type="dxa"/>
            <w:gridSpan w:val="3"/>
          </w:tcPr>
          <w:p w14:paraId="01DAC5C2" w14:textId="77777777" w:rsidR="0089620B" w:rsidRDefault="0089620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0E15A40" w14:textId="77777777" w:rsidR="0089620B" w:rsidRPr="00C13753" w:rsidRDefault="0089620B" w:rsidP="000A4B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(434) </w:t>
            </w:r>
            <w:r w:rsidRPr="00141DF6">
              <w:rPr>
                <w:rFonts w:ascii="Arial" w:hAnsi="Arial" w:cs="Arial"/>
                <w:sz w:val="20"/>
                <w:szCs w:val="20"/>
              </w:rPr>
              <w:t>293-1944</w:t>
            </w:r>
          </w:p>
        </w:tc>
        <w:tc>
          <w:tcPr>
            <w:tcW w:w="3432" w:type="dxa"/>
            <w:gridSpan w:val="2"/>
          </w:tcPr>
          <w:p w14:paraId="20501AA0" w14:textId="77777777" w:rsidR="0089620B" w:rsidRDefault="0089620B" w:rsidP="000A4B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C1A40A5" w14:textId="77777777" w:rsidR="0089620B" w:rsidRPr="00B66A21" w:rsidRDefault="0089620B" w:rsidP="000A4BEA">
            <w:pPr>
              <w:rPr>
                <w:rFonts w:ascii="Arial" w:hAnsi="Arial" w:cs="Arial"/>
                <w:sz w:val="20"/>
                <w:szCs w:val="20"/>
              </w:rPr>
            </w:pPr>
            <w:r w:rsidRPr="009829AD">
              <w:rPr>
                <w:rStyle w:val="Hyperlink"/>
                <w:rFonts w:ascii="Arial" w:hAnsi="Arial" w:cs="Arial"/>
                <w:sz w:val="20"/>
                <w:szCs w:val="20"/>
              </w:rPr>
              <w:t>brian.diefenderfer@vdot.virginia.gov</w:t>
            </w:r>
          </w:p>
        </w:tc>
      </w:tr>
      <w:bookmarkEnd w:id="0"/>
      <w:tr w:rsidR="00535598" w:rsidRPr="00B66A21" w14:paraId="46B3B7CF" w14:textId="77777777" w:rsidTr="00D27742">
        <w:tc>
          <w:tcPr>
            <w:tcW w:w="3798" w:type="dxa"/>
            <w:gridSpan w:val="2"/>
          </w:tcPr>
          <w:p w14:paraId="1A3A82ED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51BD7685" w14:textId="77777777" w:rsidR="00D27742" w:rsidRPr="00D27742" w:rsidRDefault="00D27742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82650</w:t>
            </w:r>
          </w:p>
        </w:tc>
        <w:tc>
          <w:tcPr>
            <w:tcW w:w="3690" w:type="dxa"/>
            <w:gridSpan w:val="3"/>
          </w:tcPr>
          <w:p w14:paraId="6C789D89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6A408D13" w14:textId="3DED34EA" w:rsidR="00D27742" w:rsidRPr="0089620B" w:rsidRDefault="0089620B" w:rsidP="0089620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449501 (VT)</w:t>
            </w:r>
          </w:p>
        </w:tc>
        <w:tc>
          <w:tcPr>
            <w:tcW w:w="3420" w:type="dxa"/>
          </w:tcPr>
          <w:p w14:paraId="4970F8EE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E0A92F0" w14:textId="77777777" w:rsidR="00535598" w:rsidRPr="00B66A21" w:rsidRDefault="00AC365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27742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27742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77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35598" w:rsidRPr="00B66A21" w14:paraId="01A1AB7F" w14:textId="77777777" w:rsidTr="00D27742">
        <w:tc>
          <w:tcPr>
            <w:tcW w:w="3798" w:type="dxa"/>
            <w:gridSpan w:val="2"/>
          </w:tcPr>
          <w:p w14:paraId="779F69FF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39B247C2" w14:textId="77777777" w:rsidR="00D27742" w:rsidRPr="00D27742" w:rsidRDefault="00AC365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7742" w:rsidRP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28/2022</w:t>
            </w:r>
          </w:p>
        </w:tc>
        <w:tc>
          <w:tcPr>
            <w:tcW w:w="3690" w:type="dxa"/>
            <w:gridSpan w:val="3"/>
          </w:tcPr>
          <w:p w14:paraId="0777BB84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76168DC" w14:textId="77777777" w:rsidR="00D27742" w:rsidRPr="00D27742" w:rsidRDefault="00EA6442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A3C7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A3C74">
              <w:rPr>
                <w:rFonts w:ascii="Arial" w:hAnsi="Arial" w:cs="Arial"/>
                <w:sz w:val="20"/>
                <w:szCs w:val="20"/>
              </w:rPr>
              <w:t>/20</w:t>
            </w:r>
            <w:r w:rsidR="00AC365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0F00725A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1F2FA38A" w14:textId="77777777" w:rsidR="00535598" w:rsidRPr="00B66A21" w:rsidRDefault="00081B03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323CC9C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114C7C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7542153E" w14:textId="77777777"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14:paraId="0335E72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5F1B848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2C9F180D" w14:textId="77777777" w:rsidTr="00B66A21">
        <w:tc>
          <w:tcPr>
            <w:tcW w:w="4158" w:type="dxa"/>
            <w:shd w:val="pct15" w:color="auto" w:fill="auto"/>
          </w:tcPr>
          <w:p w14:paraId="65377853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C0FF4A7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2B295EBF" w14:textId="77777777"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248214" w14:textId="77777777"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0869B4C" w14:textId="77777777" w:rsidTr="00B66A21">
        <w:tc>
          <w:tcPr>
            <w:tcW w:w="4158" w:type="dxa"/>
          </w:tcPr>
          <w:p w14:paraId="6E6A7C04" w14:textId="77777777" w:rsidR="00874EF7" w:rsidRPr="008C13A1" w:rsidRDefault="002153F0" w:rsidP="00CF048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3A1"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Pr="00261012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  <w:r w:rsidR="002A04A4"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2,</w:t>
            </w:r>
            <w:r w:rsidR="002A04A4">
              <w:rPr>
                <w:rFonts w:ascii="Arial" w:hAnsi="Arial" w:cs="Arial"/>
                <w:color w:val="333333"/>
                <w:sz w:val="20"/>
                <w:szCs w:val="20"/>
              </w:rPr>
              <w:t>079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0624A8BB" w14:textId="1C62DB1B" w:rsidR="002153F0" w:rsidRPr="008C13A1" w:rsidRDefault="00DC3ED7" w:rsidP="002153F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6119FC" w:rsidRPr="006119FC">
              <w:rPr>
                <w:rFonts w:ascii="Arial" w:hAnsi="Arial" w:cs="Arial"/>
                <w:sz w:val="20"/>
              </w:rPr>
              <w:t>1,</w:t>
            </w:r>
            <w:r w:rsidR="0089620B">
              <w:rPr>
                <w:rFonts w:ascii="Arial" w:hAnsi="Arial" w:cs="Arial"/>
                <w:sz w:val="20"/>
              </w:rPr>
              <w:t>348</w:t>
            </w:r>
            <w:r w:rsidR="006119FC" w:rsidRPr="006119FC">
              <w:rPr>
                <w:rFonts w:ascii="Arial" w:hAnsi="Arial" w:cs="Arial"/>
                <w:sz w:val="20"/>
              </w:rPr>
              <w:t>,</w:t>
            </w:r>
            <w:r w:rsidR="0089620B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3420" w:type="dxa"/>
          </w:tcPr>
          <w:p w14:paraId="4769CA67" w14:textId="09D1463F" w:rsidR="00874EF7" w:rsidRPr="008C13A1" w:rsidRDefault="002153F0" w:rsidP="002153F0">
            <w:pPr>
              <w:tabs>
                <w:tab w:val="left" w:pos="1290"/>
                <w:tab w:val="center" w:pos="16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89620B">
              <w:rPr>
                <w:rFonts w:ascii="Arial" w:hAnsi="Arial" w:cs="Arial"/>
                <w:sz w:val="20"/>
                <w:szCs w:val="20"/>
              </w:rPr>
              <w:t>96</w:t>
            </w:r>
            <w:r w:rsidR="00324DF4" w:rsidRPr="008C13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7009033" w14:textId="77777777"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14:paraId="3BA8A2FC" w14:textId="77777777"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4F0402CA" w14:textId="77777777" w:rsidTr="00B66A21">
        <w:tc>
          <w:tcPr>
            <w:tcW w:w="4158" w:type="dxa"/>
            <w:shd w:val="pct15" w:color="auto" w:fill="auto"/>
          </w:tcPr>
          <w:p w14:paraId="4F8168B3" w14:textId="77777777"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9A7BFC" w14:textId="77777777"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B934E08" w14:textId="77777777"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2580CC" w14:textId="77777777"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2CAB732" w14:textId="77777777"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5E2F5FE" w14:textId="77777777"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0EC9C4FB" w14:textId="77777777" w:rsidTr="008C13A1">
        <w:tc>
          <w:tcPr>
            <w:tcW w:w="4158" w:type="dxa"/>
            <w:shd w:val="clear" w:color="auto" w:fill="auto"/>
          </w:tcPr>
          <w:p w14:paraId="67EBE057" w14:textId="3C6B37E2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1B5D2D">
              <w:rPr>
                <w:rFonts w:ascii="Arial" w:hAnsi="Arial" w:cs="Arial"/>
                <w:sz w:val="20"/>
                <w:szCs w:val="20"/>
              </w:rPr>
              <w:t>4</w:t>
            </w:r>
            <w:r w:rsidR="006119FC" w:rsidRPr="006119FC">
              <w:rPr>
                <w:rFonts w:ascii="Arial" w:hAnsi="Arial" w:cs="Arial"/>
                <w:sz w:val="20"/>
                <w:szCs w:val="20"/>
              </w:rPr>
              <w:t>,</w:t>
            </w:r>
            <w:r w:rsidR="001B5D2D">
              <w:rPr>
                <w:rFonts w:ascii="Arial" w:hAnsi="Arial" w:cs="Arial"/>
                <w:sz w:val="20"/>
                <w:szCs w:val="20"/>
              </w:rPr>
              <w:t xml:space="preserve">409 </w:t>
            </w:r>
            <w:r w:rsidRPr="00013654">
              <w:rPr>
                <w:rFonts w:ascii="Arial" w:hAnsi="Arial" w:cs="Arial"/>
                <w:sz w:val="20"/>
                <w:szCs w:val="20"/>
              </w:rPr>
              <w:t>(</w:t>
            </w:r>
            <w:r w:rsidR="001B5D2D">
              <w:rPr>
                <w:rFonts w:ascii="Arial" w:hAnsi="Arial" w:cs="Arial"/>
                <w:sz w:val="20"/>
                <w:szCs w:val="20"/>
              </w:rPr>
              <w:t>&lt;1</w:t>
            </w:r>
            <w:r w:rsidRPr="0001365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  <w:shd w:val="clear" w:color="auto" w:fill="auto"/>
          </w:tcPr>
          <w:p w14:paraId="5F0A4517" w14:textId="251A4ECC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1B5D2D">
              <w:rPr>
                <w:rFonts w:ascii="Arial" w:hAnsi="Arial" w:cs="Arial"/>
                <w:sz w:val="20"/>
                <w:szCs w:val="20"/>
              </w:rPr>
              <w:t>4</w:t>
            </w:r>
            <w:r w:rsidR="006119FC">
              <w:rPr>
                <w:rFonts w:ascii="Arial" w:hAnsi="Arial" w:cs="Arial"/>
                <w:sz w:val="20"/>
                <w:szCs w:val="20"/>
              </w:rPr>
              <w:t>,</w:t>
            </w:r>
            <w:r w:rsidR="001B5D2D"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3420" w:type="dxa"/>
            <w:shd w:val="clear" w:color="auto" w:fill="auto"/>
          </w:tcPr>
          <w:p w14:paraId="28097B3E" w14:textId="1D5699D8" w:rsidR="00B66A21" w:rsidRPr="00013654" w:rsidRDefault="0089620B" w:rsidP="00B77F6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537E1D" w:rsidRPr="000136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D9681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1EABEE3" w14:textId="32AAF061" w:rsidR="002153F0" w:rsidRDefault="00AC3659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  <w:vertAlign w:val="superscript"/>
        </w:rPr>
        <w:t xml:space="preserve">* </w:t>
      </w:r>
      <w:r w:rsidRPr="00DC3ED7">
        <w:rPr>
          <w:rFonts w:ascii="Arial" w:hAnsi="Arial" w:cs="Arial"/>
          <w:sz w:val="18"/>
          <w:szCs w:val="20"/>
        </w:rPr>
        <w:t xml:space="preserve">Committed; the actual budget </w:t>
      </w:r>
      <w:r w:rsidR="00C67DCD" w:rsidRPr="00DC3ED7">
        <w:rPr>
          <w:rFonts w:ascii="Arial" w:hAnsi="Arial" w:cs="Arial"/>
          <w:sz w:val="18"/>
          <w:szCs w:val="20"/>
        </w:rPr>
        <w:t xml:space="preserve">contracted </w:t>
      </w:r>
      <w:r w:rsidR="00C67DCD">
        <w:rPr>
          <w:rFonts w:ascii="Arial" w:hAnsi="Arial" w:cs="Arial"/>
          <w:sz w:val="18"/>
          <w:szCs w:val="20"/>
        </w:rPr>
        <w:t xml:space="preserve">with VTTI </w:t>
      </w:r>
      <w:r w:rsidRPr="00DC3ED7">
        <w:rPr>
          <w:rFonts w:ascii="Arial" w:hAnsi="Arial" w:cs="Arial"/>
          <w:sz w:val="18"/>
          <w:szCs w:val="20"/>
        </w:rPr>
        <w:t>is $</w:t>
      </w:r>
      <w:r w:rsidR="002153F0">
        <w:rPr>
          <w:rFonts w:ascii="Arial" w:hAnsi="Arial" w:cs="Arial"/>
          <w:sz w:val="18"/>
          <w:szCs w:val="20"/>
        </w:rPr>
        <w:t>1,</w:t>
      </w:r>
      <w:r w:rsidR="0089620B">
        <w:rPr>
          <w:rFonts w:ascii="Arial" w:hAnsi="Arial" w:cs="Arial"/>
          <w:sz w:val="18"/>
          <w:szCs w:val="20"/>
        </w:rPr>
        <w:t>373</w:t>
      </w:r>
      <w:r w:rsidRPr="00DC3ED7">
        <w:rPr>
          <w:rFonts w:ascii="Arial" w:hAnsi="Arial" w:cs="Arial"/>
          <w:sz w:val="18"/>
          <w:szCs w:val="20"/>
        </w:rPr>
        <w:t>,</w:t>
      </w:r>
      <w:r w:rsidR="0089620B">
        <w:rPr>
          <w:rFonts w:ascii="Arial" w:hAnsi="Arial" w:cs="Arial"/>
          <w:sz w:val="18"/>
          <w:szCs w:val="20"/>
        </w:rPr>
        <w:t>681</w:t>
      </w:r>
    </w:p>
    <w:p w14:paraId="65A9DD8F" w14:textId="77777777" w:rsidR="00037FBC" w:rsidRPr="00DC3ED7" w:rsidRDefault="00037FBC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7175D2B" w14:textId="77777777" w:rsidTr="00601EBD">
        <w:tc>
          <w:tcPr>
            <w:tcW w:w="10908" w:type="dxa"/>
          </w:tcPr>
          <w:p w14:paraId="40A5A1A6" w14:textId="77777777" w:rsidR="00601EBD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3729F5" w14:textId="77777777" w:rsidR="00E970B6" w:rsidRDefault="00E970B6" w:rsidP="00E970B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his program of research focuses on optimizing pavement surface texture characteristics. 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Phase I of the program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demonstrated that a collaborative research program can provide an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accessible and efficient way for highway agencies and other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organizations to conduct research on pavement surface properties.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This second phase focus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 xml:space="preserve"> on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addressing some of the emerging challenges in the evaluation of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pavement surface properties and the changes needed to best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 xml:space="preserve">support the next generation of pavement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and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asset management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</w:rPr>
              <w:t>systems, including support for MAP21-related initiatives.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 The program 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>includ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 the following main broad activities: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(1)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equipment </w:t>
            </w:r>
            <w:r w:rsidRPr="00866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comparisons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(2) t</w:t>
            </w:r>
            <w:r w:rsidRPr="00961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echnology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961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ransfer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and (3) r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 xml:space="preserve">esearch 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 xml:space="preserve">merging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961740">
              <w:rPr>
                <w:rFonts w:ascii="Times New Roman" w:hAnsi="Times New Roman" w:cs="Times New Roman"/>
                <w:sz w:val="20"/>
                <w:szCs w:val="20"/>
              </w:rPr>
              <w:t>opics.</w:t>
            </w:r>
          </w:p>
          <w:p w14:paraId="38516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E13A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4D3941" w14:paraId="4E3E2ED2" w14:textId="77777777" w:rsidTr="00601EBD">
        <w:tc>
          <w:tcPr>
            <w:tcW w:w="10908" w:type="dxa"/>
          </w:tcPr>
          <w:p w14:paraId="222425F7" w14:textId="77777777" w:rsidR="00601EBD" w:rsidRPr="009741C6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41C6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078E8701" w14:textId="5F7C121A" w:rsidR="00CE3C5A" w:rsidRDefault="00CE3C5A" w:rsidP="00447ADB">
            <w:pPr>
              <w:pStyle w:val="ListBullet"/>
              <w:ind w:left="288" w:hanging="288"/>
            </w:pPr>
            <w:r w:rsidRPr="00CE3C5A">
              <w:t xml:space="preserve">Team members met with </w:t>
            </w:r>
            <w:r>
              <w:t>CALTRANS on October 4</w:t>
            </w:r>
            <w:r w:rsidRPr="00CE3C5A">
              <w:t xml:space="preserve"> to participate in the close-out meeting for the demonstration project with the FHWA CPFM and PFM project. </w:t>
            </w:r>
            <w:r>
              <w:t>CALTRANS</w:t>
            </w:r>
            <w:r w:rsidRPr="00CE3C5A">
              <w:t xml:space="preserve"> expressed interest in </w:t>
            </w:r>
            <w:r>
              <w:t xml:space="preserve">doing more </w:t>
            </w:r>
            <w:r w:rsidRPr="00CE3C5A">
              <w:t>demonstration projects in the future.</w:t>
            </w:r>
          </w:p>
          <w:p w14:paraId="478868C9" w14:textId="77777777" w:rsidR="00447ADB" w:rsidRPr="000360F4" w:rsidRDefault="00447ADB" w:rsidP="00447ADB">
            <w:pPr>
              <w:pStyle w:val="ListBullet"/>
              <w:ind w:left="288" w:hanging="288"/>
            </w:pPr>
            <w:r w:rsidRPr="000360F4">
              <w:t xml:space="preserve">The Pooled Fund TAC members and other invited guests held </w:t>
            </w:r>
            <w:r>
              <w:t>several</w:t>
            </w:r>
            <w:r w:rsidRPr="000360F4">
              <w:t xml:space="preserve"> virtual meeting</w:t>
            </w:r>
            <w:r>
              <w:t>s</w:t>
            </w:r>
            <w:r w:rsidRPr="000360F4">
              <w:t xml:space="preserve"> in this quarter</w:t>
            </w:r>
            <w:r>
              <w:t xml:space="preserve"> related to the RNS task forces that were formed</w:t>
            </w:r>
            <w:r w:rsidRPr="000360F4">
              <w:t xml:space="preserve">. </w:t>
            </w:r>
            <w:r>
              <w:t xml:space="preserve">The objective of these groups is to work on an RNS for each topic and submit it to the pooled fund to decide whether to propose them to the TRB-NCHRP process or seek for another mechanism to perform the research. </w:t>
            </w:r>
            <w:r w:rsidRPr="000360F4">
              <w:t>The following were some of the topics discussed</w:t>
            </w:r>
            <w:r>
              <w:t xml:space="preserve"> during this quarter</w:t>
            </w:r>
            <w:r w:rsidRPr="000360F4">
              <w:t>:</w:t>
            </w:r>
          </w:p>
          <w:p w14:paraId="5AD4E9D7" w14:textId="4CAF0142" w:rsidR="00447ADB" w:rsidRPr="000360F4" w:rsidRDefault="001B5D2D" w:rsidP="001B5D2D">
            <w:pPr>
              <w:pStyle w:val="ListBullet"/>
              <w:numPr>
                <w:ilvl w:val="1"/>
                <w:numId w:val="16"/>
              </w:numPr>
            </w:pPr>
            <w:r>
              <w:t>E</w:t>
            </w:r>
            <w:r w:rsidR="00447ADB">
              <w:t>poxy application amounts based on surface macrotexture</w:t>
            </w:r>
            <w:r>
              <w:t xml:space="preserve">, </w:t>
            </w:r>
            <w:r>
              <w:t>October 3</w:t>
            </w:r>
            <w:r w:rsidR="00447ADB">
              <w:t>.</w:t>
            </w:r>
          </w:p>
          <w:p w14:paraId="4EEC2714" w14:textId="3F31B626" w:rsidR="00447ADB" w:rsidRDefault="00447ADB" w:rsidP="001B5D2D">
            <w:pPr>
              <w:pStyle w:val="ListBullet"/>
              <w:numPr>
                <w:ilvl w:val="1"/>
                <w:numId w:val="16"/>
              </w:numPr>
            </w:pPr>
            <w:r>
              <w:t xml:space="preserve">Asphalt based </w:t>
            </w:r>
            <w:proofErr w:type="spellStart"/>
            <w:r>
              <w:t>HFST</w:t>
            </w:r>
            <w:proofErr w:type="spellEnd"/>
            <w:r>
              <w:t xml:space="preserve"> treatments</w:t>
            </w:r>
            <w:r w:rsidR="001B5D2D">
              <w:t xml:space="preserve">, </w:t>
            </w:r>
            <w:r w:rsidR="001B5D2D">
              <w:t xml:space="preserve">October </w:t>
            </w:r>
            <w:r w:rsidR="001B5D2D">
              <w:t>10</w:t>
            </w:r>
            <w:r>
              <w:t>.</w:t>
            </w:r>
          </w:p>
          <w:p w14:paraId="54A41689" w14:textId="592A19EE" w:rsidR="00447ADB" w:rsidRDefault="00447ADB" w:rsidP="001B5D2D">
            <w:pPr>
              <w:pStyle w:val="ListBullet"/>
              <w:numPr>
                <w:ilvl w:val="1"/>
                <w:numId w:val="16"/>
              </w:numPr>
            </w:pPr>
            <w:r>
              <w:t xml:space="preserve">guidance for </w:t>
            </w:r>
            <w:proofErr w:type="spellStart"/>
            <w:r>
              <w:t>HFST</w:t>
            </w:r>
            <w:proofErr w:type="spellEnd"/>
            <w:r>
              <w:t xml:space="preserve"> applications lengths</w:t>
            </w:r>
            <w:r w:rsidR="001B5D2D">
              <w:t xml:space="preserve">, </w:t>
            </w:r>
            <w:r w:rsidR="001B5D2D">
              <w:t xml:space="preserve">October </w:t>
            </w:r>
            <w:r w:rsidR="001B5D2D">
              <w:t>12</w:t>
            </w:r>
            <w:r>
              <w:t>.</w:t>
            </w:r>
          </w:p>
          <w:p w14:paraId="02441DBA" w14:textId="319A25A7" w:rsidR="00447ADB" w:rsidRDefault="00447ADB" w:rsidP="00121B0F">
            <w:pPr>
              <w:pStyle w:val="ListBullet"/>
              <w:ind w:left="250" w:hanging="270"/>
            </w:pPr>
            <w:r>
              <w:t xml:space="preserve">On October 27, Dr. Gerardo Flintsch participated in the TRB Webinar </w:t>
            </w:r>
            <w:r w:rsidRPr="00447ADB">
              <w:rPr>
                <w:i/>
                <w:iCs/>
              </w:rPr>
              <w:t>“NCHRP Report 964 Protocols for Network Level Macrotexture Measurements to Prevent Wet Weather Crashes”</w:t>
            </w:r>
            <w:r>
              <w:t xml:space="preserve">. This webinar </w:t>
            </w:r>
            <w:r w:rsidRPr="00447ADB">
              <w:t>discuss</w:t>
            </w:r>
            <w:r>
              <w:t>ed</w:t>
            </w:r>
            <w:r w:rsidRPr="00447ADB">
              <w:t xml:space="preserve"> protocols for test methods, equipment specifications, and data quality assurance practices for network-level macrotexture measurement. Collecting accurate and repeatable texture data provides agencies with valuable information that helps identify high risk locations for wet weather crashes.</w:t>
            </w:r>
            <w:r>
              <w:t xml:space="preserve"> </w:t>
            </w:r>
            <w:r w:rsidRPr="00447ADB">
              <w:t xml:space="preserve">This webinar </w:t>
            </w:r>
            <w:r>
              <w:t>wa</w:t>
            </w:r>
            <w:r w:rsidRPr="00447ADB">
              <w:t xml:space="preserve">s sponsored by the TRB Standing Technical Committee </w:t>
            </w:r>
            <w:r w:rsidR="001B5D2D">
              <w:t xml:space="preserve">AKP50 </w:t>
            </w:r>
            <w:r w:rsidRPr="00447ADB">
              <w:t>on Pavement Surface Properties and Vehicle Interaction</w:t>
            </w:r>
            <w:r>
              <w:t>.</w:t>
            </w:r>
          </w:p>
          <w:p w14:paraId="2C336B0B" w14:textId="01A34466" w:rsidR="00CE3C5A" w:rsidRDefault="009741C6" w:rsidP="00447ADB">
            <w:pPr>
              <w:pStyle w:val="ListBullet"/>
              <w:ind w:left="250" w:hanging="270"/>
            </w:pPr>
            <w:r w:rsidRPr="009741C6">
              <w:t xml:space="preserve">The Pooled Fund TAC members and other invited guests held a virtual meeting in this quarter, on </w:t>
            </w:r>
            <w:r>
              <w:t>December 14</w:t>
            </w:r>
            <w:r w:rsidRPr="009741C6">
              <w:t xml:space="preserve"> </w:t>
            </w:r>
            <w:r>
              <w:t>to present the results of the equipment comparison (Rodeo) held in Blacksburg at the Smart Road.</w:t>
            </w:r>
            <w:r w:rsidR="00CE3C5A">
              <w:t xml:space="preserve"> These results will be presented at the next </w:t>
            </w:r>
            <w:proofErr w:type="spellStart"/>
            <w:r w:rsidR="00CE3C5A">
              <w:t>RPUG</w:t>
            </w:r>
            <w:proofErr w:type="spellEnd"/>
            <w:r w:rsidR="00CE3C5A">
              <w:t xml:space="preserve"> meeting.</w:t>
            </w:r>
          </w:p>
          <w:p w14:paraId="5E21B589" w14:textId="2B0BCEB9" w:rsidR="001B5D2D" w:rsidRPr="004D3941" w:rsidRDefault="001B5D2D" w:rsidP="001B5D2D">
            <w:pPr>
              <w:pStyle w:val="ListBullet"/>
              <w:numPr>
                <w:ilvl w:val="0"/>
                <w:numId w:val="0"/>
              </w:numPr>
              <w:ind w:left="-20"/>
              <w:rPr>
                <w:highlight w:val="yellow"/>
              </w:rPr>
            </w:pPr>
          </w:p>
        </w:tc>
      </w:tr>
    </w:tbl>
    <w:p w14:paraId="20AFD78A" w14:textId="14EC7AE3" w:rsidR="002311F8" w:rsidRPr="004D3941" w:rsidRDefault="002311F8" w:rsidP="00A335B6">
      <w:pPr>
        <w:spacing w:after="0"/>
        <w:ind w:left="-72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6B5228B" w14:textId="77777777" w:rsidTr="009E2027">
        <w:tc>
          <w:tcPr>
            <w:tcW w:w="10908" w:type="dxa"/>
          </w:tcPr>
          <w:p w14:paraId="39645189" w14:textId="77777777" w:rsidR="00601EBD" w:rsidRPr="006C72BA" w:rsidRDefault="00601EBD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C72BA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C72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6C3BFFE" w14:textId="37DCC203" w:rsidR="002A43D5" w:rsidRDefault="001B5D2D" w:rsidP="0089620B">
            <w:pPr>
              <w:pStyle w:val="ListBullet"/>
            </w:pPr>
            <w:r>
              <w:t>Complete a</w:t>
            </w:r>
            <w:r w:rsidR="006C72BA" w:rsidRPr="006C72BA">
              <w:t xml:space="preserve">rrangements for an in-person TAC meeting during the </w:t>
            </w:r>
            <w:proofErr w:type="spellStart"/>
            <w:r w:rsidR="006C72BA" w:rsidRPr="006C72BA">
              <w:t>RPUG</w:t>
            </w:r>
            <w:proofErr w:type="spellEnd"/>
            <w:r w:rsidR="006C72BA" w:rsidRPr="006C72BA">
              <w:t xml:space="preserve"> conference </w:t>
            </w:r>
            <w:r>
              <w:t xml:space="preserve">and </w:t>
            </w:r>
            <w:r w:rsidR="006C72BA" w:rsidRPr="006C72BA">
              <w:t xml:space="preserve">the </w:t>
            </w:r>
            <w:r>
              <w:t>2023 A</w:t>
            </w:r>
            <w:r w:rsidR="006C72BA" w:rsidRPr="006C72BA">
              <w:t>nnual Rodeo event in the new ICART test track in Illinois.</w:t>
            </w:r>
          </w:p>
          <w:p w14:paraId="754582BA" w14:textId="4C241DBC" w:rsidR="00A2351C" w:rsidRPr="00C66F9C" w:rsidRDefault="00A2351C" w:rsidP="001B5D2D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6DFAE378" w14:textId="77777777" w:rsidR="00037FBC" w:rsidRDefault="00037FBC" w:rsidP="00161B1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CFA14B" w14:textId="77777777" w:rsidTr="00601EBD">
        <w:tc>
          <w:tcPr>
            <w:tcW w:w="10908" w:type="dxa"/>
          </w:tcPr>
          <w:p w14:paraId="4CF55C8B" w14:textId="77777777" w:rsidR="00325D71" w:rsidRDefault="00601EBD" w:rsidP="00C67DCD">
            <w:pPr>
              <w:spacing w:before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796C16EB" w14:textId="586CCA60" w:rsidR="00FF6695" w:rsidRPr="00B34F47" w:rsidRDefault="001B5D2D" w:rsidP="001B5D2D">
            <w:pPr>
              <w:pStyle w:val="ListParagraph"/>
              <w:numPr>
                <w:ilvl w:val="0"/>
                <w:numId w:val="20"/>
              </w:numPr>
              <w:spacing w:before="120"/>
              <w:ind w:right="-720"/>
              <w:contextualSpacing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F47">
              <w:rPr>
                <w:rFonts w:ascii="Times New Roman" w:hAnsi="Times New Roman" w:cs="Times New Roman"/>
                <w:sz w:val="20"/>
                <w:szCs w:val="20"/>
              </w:rPr>
              <w:t>TRB</w:t>
            </w:r>
            <w:proofErr w:type="spellEnd"/>
            <w:r w:rsidRPr="00B34F47">
              <w:rPr>
                <w:rFonts w:ascii="Times New Roman" w:hAnsi="Times New Roman" w:cs="Times New Roman"/>
                <w:sz w:val="20"/>
                <w:szCs w:val="20"/>
              </w:rPr>
              <w:t xml:space="preserve"> Webinar </w:t>
            </w:r>
            <w:proofErr w:type="spellStart"/>
            <w:r w:rsidRPr="00B34F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NCHRP</w:t>
            </w:r>
            <w:proofErr w:type="spellEnd"/>
            <w:r w:rsidRPr="00B34F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Report 964 Protocols for Network Level Macrotexture Measurements to Prevent Wet Weather Crashes</w:t>
            </w:r>
          </w:p>
          <w:p w14:paraId="2AD53143" w14:textId="266E8835" w:rsidR="001B5D2D" w:rsidRPr="001B5D2D" w:rsidRDefault="001B5D2D" w:rsidP="001B5D2D">
            <w:pPr>
              <w:spacing w:before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6B9ECC" w14:textId="77777777" w:rsidR="00030DDE" w:rsidRDefault="00030DDE" w:rsidP="009E326D">
      <w:pPr>
        <w:spacing w:after="0" w:line="240" w:lineRule="auto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B9BC650" w14:textId="77777777" w:rsidTr="00601EBD">
        <w:tc>
          <w:tcPr>
            <w:tcW w:w="10908" w:type="dxa"/>
          </w:tcPr>
          <w:p w14:paraId="1AB7EF2C" w14:textId="77777777" w:rsidR="00601EBD" w:rsidRDefault="00601EBD" w:rsidP="00C67DCD">
            <w:pPr>
              <w:spacing w:before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14:paraId="68BDFCE5" w14:textId="77777777" w:rsidR="006A15C6" w:rsidRPr="006A15C6" w:rsidRDefault="006A15C6" w:rsidP="00B34F47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13E53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7E44AA81" w14:textId="77777777" w:rsidTr="00E35E0F">
        <w:tc>
          <w:tcPr>
            <w:tcW w:w="10908" w:type="dxa"/>
          </w:tcPr>
          <w:p w14:paraId="504C8BDA" w14:textId="77777777" w:rsidR="00E35E0F" w:rsidRDefault="00E35E0F" w:rsidP="00C67DCD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39DF820" w14:textId="77777777" w:rsidR="006B676C" w:rsidRPr="006119FC" w:rsidRDefault="006B676C" w:rsidP="006119FC">
            <w:pPr>
              <w:spacing w:before="120"/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ED17D" w14:textId="77777777" w:rsidR="0089620B" w:rsidRPr="0089620B" w:rsidRDefault="0089620B" w:rsidP="0089620B">
      <w:pPr>
        <w:jc w:val="right"/>
        <w:rPr>
          <w:rFonts w:ascii="Arial" w:hAnsi="Arial" w:cs="Arial"/>
          <w:sz w:val="12"/>
          <w:szCs w:val="20"/>
        </w:rPr>
      </w:pPr>
    </w:p>
    <w:sectPr w:rsidR="0089620B" w:rsidRPr="0089620B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C0B9" w14:textId="77777777" w:rsidR="00E62100" w:rsidRDefault="00E62100" w:rsidP="00106C83">
      <w:pPr>
        <w:spacing w:after="0" w:line="240" w:lineRule="auto"/>
      </w:pPr>
      <w:r>
        <w:separator/>
      </w:r>
    </w:p>
  </w:endnote>
  <w:endnote w:type="continuationSeparator" w:id="0">
    <w:p w14:paraId="01007102" w14:textId="77777777" w:rsidR="00E62100" w:rsidRDefault="00E6210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FB42" w14:textId="22ED9844" w:rsidR="007C6596" w:rsidRPr="009741C6" w:rsidRDefault="007C6596" w:rsidP="00785665">
    <w:pPr>
      <w:pStyle w:val="Footer"/>
      <w:ind w:left="-360"/>
      <w:rPr>
        <w:sz w:val="18"/>
      </w:rPr>
    </w:pPr>
    <w:r w:rsidRPr="00FF6695">
      <w:rPr>
        <w:sz w:val="18"/>
      </w:rPr>
      <w:t>TPF Program Standar</w:t>
    </w:r>
    <w:r w:rsidR="00C661C3" w:rsidRPr="00FF6695">
      <w:rPr>
        <w:sz w:val="18"/>
      </w:rPr>
      <w:t xml:space="preserve">d Quarterly Reporting Format </w:t>
    </w:r>
    <w:r w:rsidR="00FF6695" w:rsidRPr="00FF6695">
      <w:rPr>
        <w:sz w:val="18"/>
      </w:rPr>
      <w:tab/>
    </w:r>
    <w:r w:rsidR="00FF6695" w:rsidRPr="00FF6695">
      <w:rPr>
        <w:sz w:val="18"/>
      </w:rPr>
      <w:tab/>
    </w:r>
    <w:r w:rsidR="0089620B">
      <w:rPr>
        <w:sz w:val="18"/>
      </w:rPr>
      <w:t>12</w:t>
    </w:r>
    <w:r w:rsidRPr="00FF6695">
      <w:rPr>
        <w:sz w:val="18"/>
      </w:rPr>
      <w:t>/20</w:t>
    </w:r>
    <w:r w:rsidR="0089620B">
      <w:rPr>
        <w:sz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AA9B" w14:textId="77777777" w:rsidR="00E62100" w:rsidRDefault="00E62100" w:rsidP="00106C83">
      <w:pPr>
        <w:spacing w:after="0" w:line="240" w:lineRule="auto"/>
      </w:pPr>
      <w:r>
        <w:separator/>
      </w:r>
    </w:p>
  </w:footnote>
  <w:footnote w:type="continuationSeparator" w:id="0">
    <w:p w14:paraId="20165320" w14:textId="77777777" w:rsidR="00E62100" w:rsidRDefault="00E6210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F0"/>
    <w:multiLevelType w:val="hybridMultilevel"/>
    <w:tmpl w:val="792046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510FECC">
      <w:start w:val="1"/>
      <w:numFmt w:val="bullet"/>
      <w:lvlText w:val="-"/>
      <w:lvlJc w:val="left"/>
      <w:pPr>
        <w:ind w:left="32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3323B6"/>
    <w:multiLevelType w:val="hybridMultilevel"/>
    <w:tmpl w:val="773A7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69C"/>
    <w:multiLevelType w:val="hybridMultilevel"/>
    <w:tmpl w:val="6EDA13FC"/>
    <w:lvl w:ilvl="0" w:tplc="03227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B3B"/>
    <w:multiLevelType w:val="hybridMultilevel"/>
    <w:tmpl w:val="F1E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F8F01E1"/>
    <w:multiLevelType w:val="hybridMultilevel"/>
    <w:tmpl w:val="54C2307C"/>
    <w:lvl w:ilvl="0" w:tplc="60F2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3699A"/>
    <w:multiLevelType w:val="hybridMultilevel"/>
    <w:tmpl w:val="E2707000"/>
    <w:lvl w:ilvl="0" w:tplc="04090003">
      <w:start w:val="1"/>
      <w:numFmt w:val="bullet"/>
      <w:pStyle w:val="List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11" w15:restartNumberingAfterBreak="0">
    <w:nsid w:val="4DBF6BFF"/>
    <w:multiLevelType w:val="hybridMultilevel"/>
    <w:tmpl w:val="ECAC12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284A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B506A"/>
    <w:multiLevelType w:val="hybridMultilevel"/>
    <w:tmpl w:val="43E625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D1797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15DF6"/>
    <w:multiLevelType w:val="hybridMultilevel"/>
    <w:tmpl w:val="06E8427E"/>
    <w:lvl w:ilvl="0" w:tplc="162C1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D26"/>
    <w:multiLevelType w:val="hybridMultilevel"/>
    <w:tmpl w:val="C43266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58043D"/>
    <w:multiLevelType w:val="hybridMultilevel"/>
    <w:tmpl w:val="7ECA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53AF5"/>
    <w:multiLevelType w:val="hybridMultilevel"/>
    <w:tmpl w:val="AB267DEE"/>
    <w:lvl w:ilvl="0" w:tplc="ACFA9D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2C42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774F4A"/>
    <w:multiLevelType w:val="hybridMultilevel"/>
    <w:tmpl w:val="04CC71CA"/>
    <w:lvl w:ilvl="0" w:tplc="CDA81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35854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7"/>
  </w:num>
  <w:num w:numId="9">
    <w:abstractNumId w:val="11"/>
  </w:num>
  <w:num w:numId="10">
    <w:abstractNumId w:val="6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1"/>
  </w:num>
  <w:num w:numId="16">
    <w:abstractNumId w:val="9"/>
  </w:num>
  <w:num w:numId="17">
    <w:abstractNumId w:val="2"/>
  </w:num>
  <w:num w:numId="18">
    <w:abstractNumId w:val="1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3654"/>
    <w:rsid w:val="00015C19"/>
    <w:rsid w:val="00017EDC"/>
    <w:rsid w:val="00030DDE"/>
    <w:rsid w:val="00037FBC"/>
    <w:rsid w:val="00043A25"/>
    <w:rsid w:val="000639FA"/>
    <w:rsid w:val="00065F89"/>
    <w:rsid w:val="00071138"/>
    <w:rsid w:val="000736BB"/>
    <w:rsid w:val="00073DB6"/>
    <w:rsid w:val="00081B03"/>
    <w:rsid w:val="000835C2"/>
    <w:rsid w:val="00092B3E"/>
    <w:rsid w:val="00095DDF"/>
    <w:rsid w:val="000A026F"/>
    <w:rsid w:val="000B47C1"/>
    <w:rsid w:val="000B665A"/>
    <w:rsid w:val="000C0738"/>
    <w:rsid w:val="000D2033"/>
    <w:rsid w:val="000F310F"/>
    <w:rsid w:val="000F323E"/>
    <w:rsid w:val="000F3FFD"/>
    <w:rsid w:val="001067EB"/>
    <w:rsid w:val="00106C83"/>
    <w:rsid w:val="001116BE"/>
    <w:rsid w:val="00121B0F"/>
    <w:rsid w:val="0013749E"/>
    <w:rsid w:val="00144D5C"/>
    <w:rsid w:val="001457E1"/>
    <w:rsid w:val="001547D0"/>
    <w:rsid w:val="0015565F"/>
    <w:rsid w:val="00157CA5"/>
    <w:rsid w:val="00157FA5"/>
    <w:rsid w:val="00161153"/>
    <w:rsid w:val="00161B11"/>
    <w:rsid w:val="001623E5"/>
    <w:rsid w:val="0016651F"/>
    <w:rsid w:val="0017682D"/>
    <w:rsid w:val="001B5D2D"/>
    <w:rsid w:val="001C6A9D"/>
    <w:rsid w:val="001D6F84"/>
    <w:rsid w:val="001E1289"/>
    <w:rsid w:val="002033E0"/>
    <w:rsid w:val="0021446D"/>
    <w:rsid w:val="002153F0"/>
    <w:rsid w:val="002176D1"/>
    <w:rsid w:val="00217989"/>
    <w:rsid w:val="00220A17"/>
    <w:rsid w:val="0022278A"/>
    <w:rsid w:val="00222791"/>
    <w:rsid w:val="00224DFB"/>
    <w:rsid w:val="002311F8"/>
    <w:rsid w:val="00233DC0"/>
    <w:rsid w:val="00243BCD"/>
    <w:rsid w:val="00252329"/>
    <w:rsid w:val="00252905"/>
    <w:rsid w:val="00261012"/>
    <w:rsid w:val="002675DD"/>
    <w:rsid w:val="00267C32"/>
    <w:rsid w:val="00286045"/>
    <w:rsid w:val="00293FD8"/>
    <w:rsid w:val="002A04A4"/>
    <w:rsid w:val="002A3C74"/>
    <w:rsid w:val="002A43D5"/>
    <w:rsid w:val="002A7632"/>
    <w:rsid w:val="002A79C8"/>
    <w:rsid w:val="002B19D5"/>
    <w:rsid w:val="002C1EFB"/>
    <w:rsid w:val="002C4A0F"/>
    <w:rsid w:val="002D3790"/>
    <w:rsid w:val="002E1374"/>
    <w:rsid w:val="002E2339"/>
    <w:rsid w:val="0031189F"/>
    <w:rsid w:val="0032198A"/>
    <w:rsid w:val="00324DF4"/>
    <w:rsid w:val="00325D71"/>
    <w:rsid w:val="0032621C"/>
    <w:rsid w:val="00334597"/>
    <w:rsid w:val="00336E75"/>
    <w:rsid w:val="0034001D"/>
    <w:rsid w:val="003439BA"/>
    <w:rsid w:val="00346ACA"/>
    <w:rsid w:val="00356277"/>
    <w:rsid w:val="00357CB1"/>
    <w:rsid w:val="003607C7"/>
    <w:rsid w:val="003716E9"/>
    <w:rsid w:val="00373EB8"/>
    <w:rsid w:val="0038334D"/>
    <w:rsid w:val="0038705A"/>
    <w:rsid w:val="00387A28"/>
    <w:rsid w:val="003A46E3"/>
    <w:rsid w:val="003A68ED"/>
    <w:rsid w:val="003B29F7"/>
    <w:rsid w:val="003B2CA0"/>
    <w:rsid w:val="003B5206"/>
    <w:rsid w:val="003C6D71"/>
    <w:rsid w:val="003F239C"/>
    <w:rsid w:val="003F4D26"/>
    <w:rsid w:val="003F7C7B"/>
    <w:rsid w:val="0040025E"/>
    <w:rsid w:val="004144E6"/>
    <w:rsid w:val="004156B2"/>
    <w:rsid w:val="00437734"/>
    <w:rsid w:val="00447ADB"/>
    <w:rsid w:val="00465702"/>
    <w:rsid w:val="00470B28"/>
    <w:rsid w:val="00474F12"/>
    <w:rsid w:val="00477F5F"/>
    <w:rsid w:val="0048189C"/>
    <w:rsid w:val="0048228E"/>
    <w:rsid w:val="00487387"/>
    <w:rsid w:val="004A0469"/>
    <w:rsid w:val="004B6570"/>
    <w:rsid w:val="004C0ADB"/>
    <w:rsid w:val="004C51C9"/>
    <w:rsid w:val="004D2B7E"/>
    <w:rsid w:val="004D3941"/>
    <w:rsid w:val="004E1234"/>
    <w:rsid w:val="004E14DC"/>
    <w:rsid w:val="004E52FA"/>
    <w:rsid w:val="004F4F5B"/>
    <w:rsid w:val="00513DDE"/>
    <w:rsid w:val="00514190"/>
    <w:rsid w:val="00535598"/>
    <w:rsid w:val="00537E1D"/>
    <w:rsid w:val="0054112E"/>
    <w:rsid w:val="00543B73"/>
    <w:rsid w:val="00546B87"/>
    <w:rsid w:val="00546CA6"/>
    <w:rsid w:val="00547EE3"/>
    <w:rsid w:val="00551D8A"/>
    <w:rsid w:val="00553A65"/>
    <w:rsid w:val="00567D90"/>
    <w:rsid w:val="00567EB7"/>
    <w:rsid w:val="005760C2"/>
    <w:rsid w:val="00581B36"/>
    <w:rsid w:val="00583E8E"/>
    <w:rsid w:val="00594EA6"/>
    <w:rsid w:val="005A03BB"/>
    <w:rsid w:val="005A6F03"/>
    <w:rsid w:val="005A7C69"/>
    <w:rsid w:val="005D22D5"/>
    <w:rsid w:val="005E1A9C"/>
    <w:rsid w:val="005E39D5"/>
    <w:rsid w:val="005F4FF1"/>
    <w:rsid w:val="00601EBD"/>
    <w:rsid w:val="006119FC"/>
    <w:rsid w:val="006125CD"/>
    <w:rsid w:val="0061701B"/>
    <w:rsid w:val="00622057"/>
    <w:rsid w:val="006245F6"/>
    <w:rsid w:val="0062583A"/>
    <w:rsid w:val="00626D74"/>
    <w:rsid w:val="00627D7C"/>
    <w:rsid w:val="00636FA3"/>
    <w:rsid w:val="00643598"/>
    <w:rsid w:val="006475FB"/>
    <w:rsid w:val="00660BBD"/>
    <w:rsid w:val="00663063"/>
    <w:rsid w:val="006640FE"/>
    <w:rsid w:val="006668AC"/>
    <w:rsid w:val="00682C5E"/>
    <w:rsid w:val="00687E8F"/>
    <w:rsid w:val="006A0EC7"/>
    <w:rsid w:val="006A15C6"/>
    <w:rsid w:val="006A6B04"/>
    <w:rsid w:val="006B520C"/>
    <w:rsid w:val="006B676C"/>
    <w:rsid w:val="006C72BA"/>
    <w:rsid w:val="006D0F2F"/>
    <w:rsid w:val="006E36E5"/>
    <w:rsid w:val="006F1A73"/>
    <w:rsid w:val="006F4DE7"/>
    <w:rsid w:val="00710D77"/>
    <w:rsid w:val="007210C9"/>
    <w:rsid w:val="00721EB1"/>
    <w:rsid w:val="00725872"/>
    <w:rsid w:val="00726BC0"/>
    <w:rsid w:val="00743C01"/>
    <w:rsid w:val="00754431"/>
    <w:rsid w:val="007778D4"/>
    <w:rsid w:val="00781985"/>
    <w:rsid w:val="00782C81"/>
    <w:rsid w:val="00785665"/>
    <w:rsid w:val="00790C4A"/>
    <w:rsid w:val="007A0B22"/>
    <w:rsid w:val="007A7282"/>
    <w:rsid w:val="007C0A0D"/>
    <w:rsid w:val="007C6596"/>
    <w:rsid w:val="007D6122"/>
    <w:rsid w:val="007E3929"/>
    <w:rsid w:val="007E5406"/>
    <w:rsid w:val="007E5BD2"/>
    <w:rsid w:val="007F0B49"/>
    <w:rsid w:val="0082086B"/>
    <w:rsid w:val="00822EB5"/>
    <w:rsid w:val="00823070"/>
    <w:rsid w:val="00834893"/>
    <w:rsid w:val="00835592"/>
    <w:rsid w:val="008478B2"/>
    <w:rsid w:val="00860DCA"/>
    <w:rsid w:val="00865C89"/>
    <w:rsid w:val="00871DB0"/>
    <w:rsid w:val="00872F18"/>
    <w:rsid w:val="00874EF7"/>
    <w:rsid w:val="008778F7"/>
    <w:rsid w:val="0089620B"/>
    <w:rsid w:val="008975DF"/>
    <w:rsid w:val="008A0888"/>
    <w:rsid w:val="008A47F9"/>
    <w:rsid w:val="008A63C9"/>
    <w:rsid w:val="008A6C9B"/>
    <w:rsid w:val="008A6E13"/>
    <w:rsid w:val="008B0F4B"/>
    <w:rsid w:val="008C13A1"/>
    <w:rsid w:val="008C61BB"/>
    <w:rsid w:val="008E50C7"/>
    <w:rsid w:val="008F6625"/>
    <w:rsid w:val="00901FD6"/>
    <w:rsid w:val="009056D1"/>
    <w:rsid w:val="00911332"/>
    <w:rsid w:val="009122B6"/>
    <w:rsid w:val="00915E08"/>
    <w:rsid w:val="009172A9"/>
    <w:rsid w:val="009232A1"/>
    <w:rsid w:val="00927393"/>
    <w:rsid w:val="00937DF9"/>
    <w:rsid w:val="00953360"/>
    <w:rsid w:val="00954876"/>
    <w:rsid w:val="009741C6"/>
    <w:rsid w:val="0098292D"/>
    <w:rsid w:val="00984885"/>
    <w:rsid w:val="009934BD"/>
    <w:rsid w:val="00993FA4"/>
    <w:rsid w:val="00994250"/>
    <w:rsid w:val="009A4F69"/>
    <w:rsid w:val="009B6D14"/>
    <w:rsid w:val="009D524D"/>
    <w:rsid w:val="009E1205"/>
    <w:rsid w:val="009E2027"/>
    <w:rsid w:val="009E2199"/>
    <w:rsid w:val="009E3189"/>
    <w:rsid w:val="009E326D"/>
    <w:rsid w:val="009E37FD"/>
    <w:rsid w:val="009E40DC"/>
    <w:rsid w:val="009E5C3A"/>
    <w:rsid w:val="009F5502"/>
    <w:rsid w:val="00A03A73"/>
    <w:rsid w:val="00A150C1"/>
    <w:rsid w:val="00A223F7"/>
    <w:rsid w:val="00A2351C"/>
    <w:rsid w:val="00A335B6"/>
    <w:rsid w:val="00A363B4"/>
    <w:rsid w:val="00A426AA"/>
    <w:rsid w:val="00A43875"/>
    <w:rsid w:val="00A55F58"/>
    <w:rsid w:val="00A63677"/>
    <w:rsid w:val="00A6455C"/>
    <w:rsid w:val="00A650B5"/>
    <w:rsid w:val="00A67C21"/>
    <w:rsid w:val="00A75FA6"/>
    <w:rsid w:val="00A83399"/>
    <w:rsid w:val="00A90A9C"/>
    <w:rsid w:val="00A96CEC"/>
    <w:rsid w:val="00AB0EC2"/>
    <w:rsid w:val="00AC21BA"/>
    <w:rsid w:val="00AC3659"/>
    <w:rsid w:val="00AC6C20"/>
    <w:rsid w:val="00AD5602"/>
    <w:rsid w:val="00AE46B0"/>
    <w:rsid w:val="00AE6ED9"/>
    <w:rsid w:val="00AF7BED"/>
    <w:rsid w:val="00B1735E"/>
    <w:rsid w:val="00B178AA"/>
    <w:rsid w:val="00B2185C"/>
    <w:rsid w:val="00B242E2"/>
    <w:rsid w:val="00B30B4F"/>
    <w:rsid w:val="00B3255B"/>
    <w:rsid w:val="00B34F47"/>
    <w:rsid w:val="00B37675"/>
    <w:rsid w:val="00B52E36"/>
    <w:rsid w:val="00B5516F"/>
    <w:rsid w:val="00B63F8C"/>
    <w:rsid w:val="00B66A21"/>
    <w:rsid w:val="00B77F66"/>
    <w:rsid w:val="00B855E1"/>
    <w:rsid w:val="00B913E8"/>
    <w:rsid w:val="00B97171"/>
    <w:rsid w:val="00BA26ED"/>
    <w:rsid w:val="00BA3B78"/>
    <w:rsid w:val="00BA4370"/>
    <w:rsid w:val="00BA7D0E"/>
    <w:rsid w:val="00BB4CAE"/>
    <w:rsid w:val="00BC77BD"/>
    <w:rsid w:val="00BD21B7"/>
    <w:rsid w:val="00BD4281"/>
    <w:rsid w:val="00BD568D"/>
    <w:rsid w:val="00BF65F3"/>
    <w:rsid w:val="00C00EA1"/>
    <w:rsid w:val="00C12257"/>
    <w:rsid w:val="00C13753"/>
    <w:rsid w:val="00C271F4"/>
    <w:rsid w:val="00C31A0A"/>
    <w:rsid w:val="00C36549"/>
    <w:rsid w:val="00C57652"/>
    <w:rsid w:val="00C61AA6"/>
    <w:rsid w:val="00C660BE"/>
    <w:rsid w:val="00C661C3"/>
    <w:rsid w:val="00C66F9C"/>
    <w:rsid w:val="00C67DCD"/>
    <w:rsid w:val="00C74EA5"/>
    <w:rsid w:val="00C75E1F"/>
    <w:rsid w:val="00C84F67"/>
    <w:rsid w:val="00CA58CE"/>
    <w:rsid w:val="00CC4F3E"/>
    <w:rsid w:val="00CD7ECB"/>
    <w:rsid w:val="00CE35C0"/>
    <w:rsid w:val="00CE3C5A"/>
    <w:rsid w:val="00CE652D"/>
    <w:rsid w:val="00CE6EEB"/>
    <w:rsid w:val="00CF0482"/>
    <w:rsid w:val="00CF1CAD"/>
    <w:rsid w:val="00D05DC0"/>
    <w:rsid w:val="00D11019"/>
    <w:rsid w:val="00D22FE6"/>
    <w:rsid w:val="00D27742"/>
    <w:rsid w:val="00D3415F"/>
    <w:rsid w:val="00D4425A"/>
    <w:rsid w:val="00D4619F"/>
    <w:rsid w:val="00D55AF8"/>
    <w:rsid w:val="00D55EF6"/>
    <w:rsid w:val="00D96AE3"/>
    <w:rsid w:val="00DA4934"/>
    <w:rsid w:val="00DA6A82"/>
    <w:rsid w:val="00DB3E7C"/>
    <w:rsid w:val="00DC1E9F"/>
    <w:rsid w:val="00DC3ED7"/>
    <w:rsid w:val="00DD070D"/>
    <w:rsid w:val="00DD6162"/>
    <w:rsid w:val="00DD7144"/>
    <w:rsid w:val="00DF29C6"/>
    <w:rsid w:val="00DF6D61"/>
    <w:rsid w:val="00E04D6D"/>
    <w:rsid w:val="00E0596B"/>
    <w:rsid w:val="00E07306"/>
    <w:rsid w:val="00E33481"/>
    <w:rsid w:val="00E33DCD"/>
    <w:rsid w:val="00E35E0F"/>
    <w:rsid w:val="00E371D1"/>
    <w:rsid w:val="00E42A12"/>
    <w:rsid w:val="00E53738"/>
    <w:rsid w:val="00E5463F"/>
    <w:rsid w:val="00E57F1E"/>
    <w:rsid w:val="00E62100"/>
    <w:rsid w:val="00E744D1"/>
    <w:rsid w:val="00E749B6"/>
    <w:rsid w:val="00E750BB"/>
    <w:rsid w:val="00E8230E"/>
    <w:rsid w:val="00E8334E"/>
    <w:rsid w:val="00E965BC"/>
    <w:rsid w:val="00E970B6"/>
    <w:rsid w:val="00EA1E17"/>
    <w:rsid w:val="00EA5953"/>
    <w:rsid w:val="00EA6442"/>
    <w:rsid w:val="00EB2D61"/>
    <w:rsid w:val="00EC3C13"/>
    <w:rsid w:val="00ED2355"/>
    <w:rsid w:val="00ED5F67"/>
    <w:rsid w:val="00EF08AE"/>
    <w:rsid w:val="00EF4CB4"/>
    <w:rsid w:val="00EF5790"/>
    <w:rsid w:val="00F00AD8"/>
    <w:rsid w:val="00F1051C"/>
    <w:rsid w:val="00F20DFC"/>
    <w:rsid w:val="00F238B7"/>
    <w:rsid w:val="00F32697"/>
    <w:rsid w:val="00F45001"/>
    <w:rsid w:val="00F45250"/>
    <w:rsid w:val="00F56588"/>
    <w:rsid w:val="00F57425"/>
    <w:rsid w:val="00F66259"/>
    <w:rsid w:val="00F701FF"/>
    <w:rsid w:val="00F7207E"/>
    <w:rsid w:val="00F90869"/>
    <w:rsid w:val="00F910EB"/>
    <w:rsid w:val="00F96A2F"/>
    <w:rsid w:val="00FA1E5D"/>
    <w:rsid w:val="00FB1C8E"/>
    <w:rsid w:val="00FB57E9"/>
    <w:rsid w:val="00FD0285"/>
    <w:rsid w:val="00FD7052"/>
    <w:rsid w:val="00FE0C50"/>
    <w:rsid w:val="00FE34B9"/>
    <w:rsid w:val="00FE5E80"/>
    <w:rsid w:val="00FE6120"/>
    <w:rsid w:val="00FF32BE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CCFCF"/>
  <w15:docId w15:val="{CFA56775-7756-45FC-A58F-8D1463F4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2C4A0F"/>
    <w:pPr>
      <w:numPr>
        <w:numId w:val="16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1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78E0-CB36-450A-B5E9-5EEABFDF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Gerardo Flintsch</cp:lastModifiedBy>
  <cp:revision>3</cp:revision>
  <cp:lastPrinted>2015-01-29T15:17:00Z</cp:lastPrinted>
  <dcterms:created xsi:type="dcterms:W3CDTF">2023-05-24T12:47:00Z</dcterms:created>
  <dcterms:modified xsi:type="dcterms:W3CDTF">2023-05-24T12:54:00Z</dcterms:modified>
</cp:coreProperties>
</file>