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8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67D192EB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DFE2A4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AA87E4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D27742" w:rsidRPr="00E455BE">
        <w:rPr>
          <w:rFonts w:ascii="Arial" w:hAnsi="Arial" w:cs="Arial"/>
          <w:szCs w:val="23"/>
          <w:u w:val="single"/>
        </w:rPr>
        <w:t xml:space="preserve">Virginia DOT (VDOT)                                                                 </w:t>
      </w:r>
      <w:r w:rsidR="00D27742">
        <w:rPr>
          <w:rFonts w:ascii="Arial" w:hAnsi="Arial" w:cs="Arial"/>
          <w:szCs w:val="23"/>
          <w:u w:val="single"/>
        </w:rPr>
        <w:t xml:space="preserve">   .</w:t>
      </w:r>
    </w:p>
    <w:p w14:paraId="3D01EC5F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DD5CC49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E0AC2D7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DE1A66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792"/>
        <w:gridCol w:w="6"/>
        <w:gridCol w:w="1620"/>
        <w:gridCol w:w="2058"/>
        <w:gridCol w:w="12"/>
        <w:gridCol w:w="3420"/>
      </w:tblGrid>
      <w:tr w:rsidR="00551D8A" w14:paraId="68164006" w14:textId="77777777" w:rsidTr="00743C01">
        <w:trPr>
          <w:trHeight w:val="1997"/>
        </w:trPr>
        <w:tc>
          <w:tcPr>
            <w:tcW w:w="5418" w:type="dxa"/>
            <w:gridSpan w:val="3"/>
          </w:tcPr>
          <w:p w14:paraId="34B946EF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42E31B49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D9A9EE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CEE686" w14:textId="77777777" w:rsidR="00AC3659" w:rsidRPr="00D3415F" w:rsidRDefault="00AC3659" w:rsidP="00AC3659">
            <w:pPr>
              <w:ind w:right="-720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TPF-5(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345</w:t>
            </w: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  <w:r w:rsidRPr="00930850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Pavement Surface Properties Consortium 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Pr="00930850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– A Research Program at the Virginia Smart Road 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Pr="00930850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Phase II</w:t>
            </w:r>
          </w:p>
          <w:p w14:paraId="4F6E7E04" w14:textId="77777777"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54966" w14:textId="77777777"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DC81C" w14:textId="77777777" w:rsidR="00E35E0F" w:rsidRPr="00F32697" w:rsidRDefault="00E35E0F" w:rsidP="00F32697">
            <w:pPr>
              <w:tabs>
                <w:tab w:val="left" w:pos="33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5432D64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D524DA9" w14:textId="0F87AEA9" w:rsidR="00551D8A" w:rsidRDefault="00726BC0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197A2244" w14:textId="52002FE3" w:rsidR="00551D8A" w:rsidRDefault="003B742B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7D814452" w14:textId="4A506ED0" w:rsidR="00551D8A" w:rsidRDefault="003B742B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 w:val="20"/>
                <w:szCs w:val="36"/>
              </w:rPr>
              <w:sym w:font="Wingdings" w:char="F0FE"/>
            </w:r>
            <w:r>
              <w:rPr>
                <w:rFonts w:ascii="Arial" w:hAnsi="Arial" w:cs="Arial"/>
                <w:sz w:val="20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326F1C7" w14:textId="77777777" w:rsidR="00551D8A" w:rsidRPr="00F32697" w:rsidRDefault="006119FC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81B36" w:rsidRPr="00F3269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F3269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52830767" w14:textId="77777777" w:rsidTr="00874EF7">
        <w:tc>
          <w:tcPr>
            <w:tcW w:w="10908" w:type="dxa"/>
            <w:gridSpan w:val="6"/>
          </w:tcPr>
          <w:p w14:paraId="38A31320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63219082" w14:textId="77777777" w:rsidR="00535598" w:rsidRPr="00F32697" w:rsidRDefault="00D27742" w:rsidP="00D27742">
            <w:pPr>
              <w:pStyle w:val="Default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F32697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Pavement Surface Properties Consortium: A Research Program</w:t>
            </w:r>
          </w:p>
          <w:p w14:paraId="19B1BBEC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42B" w:rsidRPr="00B66A21" w14:paraId="64CFE218" w14:textId="77777777" w:rsidTr="000A4BEA">
        <w:tc>
          <w:tcPr>
            <w:tcW w:w="3792" w:type="dxa"/>
          </w:tcPr>
          <w:p w14:paraId="1E24025E" w14:textId="77777777" w:rsidR="003B742B" w:rsidRDefault="003B742B" w:rsidP="000A4B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67B8247" w14:textId="77777777" w:rsidR="003B742B" w:rsidRPr="00C13753" w:rsidRDefault="003B742B" w:rsidP="000A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Diefenderfer</w:t>
            </w:r>
          </w:p>
        </w:tc>
        <w:tc>
          <w:tcPr>
            <w:tcW w:w="3684" w:type="dxa"/>
            <w:gridSpan w:val="3"/>
          </w:tcPr>
          <w:p w14:paraId="2B41BC21" w14:textId="77777777" w:rsidR="003B742B" w:rsidRDefault="003B742B" w:rsidP="000A4B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3DB0BC4" w14:textId="77777777" w:rsidR="003B742B" w:rsidRPr="00C13753" w:rsidRDefault="003B742B" w:rsidP="000A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(434) </w:t>
            </w:r>
            <w:r w:rsidRPr="00141DF6">
              <w:rPr>
                <w:rFonts w:ascii="Arial" w:hAnsi="Arial" w:cs="Arial"/>
                <w:sz w:val="20"/>
                <w:szCs w:val="20"/>
              </w:rPr>
              <w:t>293-1944</w:t>
            </w:r>
          </w:p>
        </w:tc>
        <w:tc>
          <w:tcPr>
            <w:tcW w:w="3432" w:type="dxa"/>
            <w:gridSpan w:val="2"/>
          </w:tcPr>
          <w:p w14:paraId="555F2682" w14:textId="77777777" w:rsidR="003B742B" w:rsidRDefault="003B742B" w:rsidP="000A4B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E552DEE" w14:textId="77777777" w:rsidR="003B742B" w:rsidRPr="00B66A21" w:rsidRDefault="003B742B" w:rsidP="000A4BEA">
            <w:pPr>
              <w:rPr>
                <w:rFonts w:ascii="Arial" w:hAnsi="Arial" w:cs="Arial"/>
                <w:sz w:val="20"/>
                <w:szCs w:val="20"/>
              </w:rPr>
            </w:pPr>
            <w:r w:rsidRPr="009829AD">
              <w:rPr>
                <w:rStyle w:val="Hyperlink"/>
                <w:rFonts w:ascii="Arial" w:hAnsi="Arial" w:cs="Arial"/>
                <w:sz w:val="20"/>
                <w:szCs w:val="20"/>
              </w:rPr>
              <w:t>brian.diefenderfer@vdot.virginia.gov</w:t>
            </w:r>
          </w:p>
        </w:tc>
      </w:tr>
      <w:tr w:rsidR="00535598" w:rsidRPr="00B66A21" w14:paraId="46B3B7CF" w14:textId="77777777" w:rsidTr="00D27742">
        <w:tc>
          <w:tcPr>
            <w:tcW w:w="3798" w:type="dxa"/>
            <w:gridSpan w:val="2"/>
          </w:tcPr>
          <w:p w14:paraId="1A3A82ED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51BD7685" w14:textId="77777777" w:rsidR="00D27742" w:rsidRPr="00D27742" w:rsidRDefault="00D27742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42">
              <w:rPr>
                <w:rFonts w:ascii="Arial" w:hAnsi="Arial" w:cs="Arial"/>
                <w:sz w:val="20"/>
                <w:szCs w:val="20"/>
              </w:rPr>
              <w:t>82650</w:t>
            </w:r>
          </w:p>
        </w:tc>
        <w:tc>
          <w:tcPr>
            <w:tcW w:w="3690" w:type="dxa"/>
            <w:gridSpan w:val="3"/>
          </w:tcPr>
          <w:p w14:paraId="6C789D89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6A408D13" w14:textId="4247CA8F" w:rsidR="00D27742" w:rsidRPr="003B742B" w:rsidRDefault="003B742B" w:rsidP="003B74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742B">
              <w:rPr>
                <w:rFonts w:ascii="Arial" w:hAnsi="Arial" w:cs="Arial"/>
                <w:bCs/>
                <w:sz w:val="20"/>
                <w:szCs w:val="20"/>
              </w:rPr>
              <w:t>449501 (VT)</w:t>
            </w:r>
          </w:p>
        </w:tc>
        <w:tc>
          <w:tcPr>
            <w:tcW w:w="3420" w:type="dxa"/>
          </w:tcPr>
          <w:p w14:paraId="4970F8EE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E0A92F0" w14:textId="77777777" w:rsidR="00535598" w:rsidRPr="00B66A21" w:rsidRDefault="00AC365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27742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27742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77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35598" w:rsidRPr="00B66A21" w14:paraId="01A1AB7F" w14:textId="77777777" w:rsidTr="00D27742">
        <w:tc>
          <w:tcPr>
            <w:tcW w:w="3798" w:type="dxa"/>
            <w:gridSpan w:val="2"/>
          </w:tcPr>
          <w:p w14:paraId="779F69FF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39B247C2" w14:textId="77777777" w:rsidR="00D27742" w:rsidRPr="00D27742" w:rsidRDefault="00AC365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7742" w:rsidRPr="00D2774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28/2022</w:t>
            </w:r>
          </w:p>
        </w:tc>
        <w:tc>
          <w:tcPr>
            <w:tcW w:w="3690" w:type="dxa"/>
            <w:gridSpan w:val="3"/>
          </w:tcPr>
          <w:p w14:paraId="0777BB84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76168DC" w14:textId="77777777" w:rsidR="00D27742" w:rsidRPr="00D27742" w:rsidRDefault="00EA6442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A3C7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2A3C74">
              <w:rPr>
                <w:rFonts w:ascii="Arial" w:hAnsi="Arial" w:cs="Arial"/>
                <w:sz w:val="20"/>
                <w:szCs w:val="20"/>
              </w:rPr>
              <w:t>/20</w:t>
            </w:r>
            <w:r w:rsidR="00AC36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0F00725A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1F2FA38A" w14:textId="77777777" w:rsidR="00535598" w:rsidRPr="00B66A21" w:rsidRDefault="00081B03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323CC9C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114C7C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7542153E" w14:textId="77777777" w:rsidR="00743C01" w:rsidRPr="000B47C1" w:rsidRDefault="00743C01" w:rsidP="000B47C1">
      <w:pPr>
        <w:pStyle w:val="ListParagraph"/>
        <w:numPr>
          <w:ilvl w:val="0"/>
          <w:numId w:val="4"/>
        </w:numPr>
        <w:spacing w:before="120" w:after="0"/>
        <w:ind w:right="-720"/>
        <w:rPr>
          <w:rFonts w:ascii="Arial" w:hAnsi="Arial" w:cs="Arial"/>
          <w:sz w:val="20"/>
          <w:szCs w:val="20"/>
        </w:rPr>
      </w:pP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schedule</w:t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revised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Ahead of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20"/>
          <w:szCs w:val="20"/>
        </w:rPr>
        <w:t xml:space="preserve"> Behind schedule</w:t>
      </w:r>
    </w:p>
    <w:p w14:paraId="0335E72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5F1B848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2C9F180D" w14:textId="77777777" w:rsidTr="00B66A21">
        <w:tc>
          <w:tcPr>
            <w:tcW w:w="4158" w:type="dxa"/>
            <w:shd w:val="pct15" w:color="auto" w:fill="auto"/>
          </w:tcPr>
          <w:p w14:paraId="65377853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C0FF4A7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B295EBF" w14:textId="77777777" w:rsidR="00547EE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248214" w14:textId="77777777" w:rsidR="00874EF7" w:rsidRPr="00C1375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0869B4C" w14:textId="77777777" w:rsidTr="00B66A21">
        <w:tc>
          <w:tcPr>
            <w:tcW w:w="4158" w:type="dxa"/>
          </w:tcPr>
          <w:p w14:paraId="6E6A7C04" w14:textId="77777777" w:rsidR="00874EF7" w:rsidRPr="008C13A1" w:rsidRDefault="002153F0" w:rsidP="00CF048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3A1"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261012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  <w:r w:rsidR="002A04A4"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2,</w:t>
            </w:r>
            <w:r w:rsidR="002A04A4">
              <w:rPr>
                <w:rFonts w:ascii="Arial" w:hAnsi="Arial" w:cs="Arial"/>
                <w:color w:val="333333"/>
                <w:sz w:val="20"/>
                <w:szCs w:val="20"/>
              </w:rPr>
              <w:t>079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0624A8BB" w14:textId="4AEE6845" w:rsidR="002153F0" w:rsidRPr="008C13A1" w:rsidRDefault="00DC3ED7" w:rsidP="002153F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6119FC" w:rsidRPr="006119FC">
              <w:rPr>
                <w:rFonts w:ascii="Arial" w:hAnsi="Arial" w:cs="Arial"/>
                <w:sz w:val="20"/>
              </w:rPr>
              <w:t>1,</w:t>
            </w:r>
            <w:r w:rsidR="003B742B">
              <w:rPr>
                <w:rFonts w:ascii="Arial" w:hAnsi="Arial" w:cs="Arial"/>
                <w:sz w:val="20"/>
              </w:rPr>
              <w:t>296,341</w:t>
            </w:r>
          </w:p>
        </w:tc>
        <w:tc>
          <w:tcPr>
            <w:tcW w:w="3420" w:type="dxa"/>
          </w:tcPr>
          <w:p w14:paraId="4769CA67" w14:textId="5FEE1026" w:rsidR="00874EF7" w:rsidRPr="008C13A1" w:rsidRDefault="002153F0" w:rsidP="002153F0">
            <w:pPr>
              <w:tabs>
                <w:tab w:val="left" w:pos="1290"/>
                <w:tab w:val="center" w:pos="16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B742B">
              <w:rPr>
                <w:rFonts w:ascii="Arial" w:hAnsi="Arial" w:cs="Arial"/>
                <w:sz w:val="20"/>
                <w:szCs w:val="20"/>
              </w:rPr>
              <w:t>92</w:t>
            </w:r>
            <w:r w:rsidR="00324DF4" w:rsidRPr="008C13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7009033" w14:textId="77777777" w:rsidR="00743C01" w:rsidRDefault="00743C0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</w:p>
    <w:p w14:paraId="3BA8A2FC" w14:textId="77777777" w:rsidR="00B66A21" w:rsidRDefault="00B66A2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4F0402CA" w14:textId="77777777" w:rsidTr="00B66A21">
        <w:tc>
          <w:tcPr>
            <w:tcW w:w="4158" w:type="dxa"/>
            <w:shd w:val="pct15" w:color="auto" w:fill="auto"/>
          </w:tcPr>
          <w:p w14:paraId="4F8168B3" w14:textId="77777777" w:rsidR="00547EE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9A7BFC" w14:textId="77777777" w:rsidR="00B66A21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B934E08" w14:textId="77777777" w:rsid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2580CC" w14:textId="77777777" w:rsidR="00B66A21" w:rsidRPr="00C13753" w:rsidRDefault="00C1375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2CAB732" w14:textId="77777777" w:rsidR="004144E6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65E2F5FE" w14:textId="77777777" w:rsidR="000B665A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0EC9C4FB" w14:textId="77777777" w:rsidTr="008C13A1">
        <w:tc>
          <w:tcPr>
            <w:tcW w:w="4158" w:type="dxa"/>
            <w:shd w:val="clear" w:color="auto" w:fill="auto"/>
          </w:tcPr>
          <w:p w14:paraId="67EBE057" w14:textId="13D9B09E" w:rsidR="00B66A21" w:rsidRPr="00013654" w:rsidRDefault="00537E1D" w:rsidP="009E40D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3B742B">
              <w:rPr>
                <w:rFonts w:ascii="Arial" w:hAnsi="Arial" w:cs="Arial"/>
                <w:sz w:val="20"/>
                <w:szCs w:val="20"/>
              </w:rPr>
              <w:t>52,215</w:t>
            </w:r>
            <w:r w:rsidR="006119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654">
              <w:rPr>
                <w:rFonts w:ascii="Arial" w:hAnsi="Arial" w:cs="Arial"/>
                <w:sz w:val="20"/>
                <w:szCs w:val="20"/>
              </w:rPr>
              <w:t>(</w:t>
            </w:r>
            <w:r w:rsidR="003B742B">
              <w:rPr>
                <w:rFonts w:ascii="Arial" w:hAnsi="Arial" w:cs="Arial"/>
                <w:sz w:val="20"/>
                <w:szCs w:val="20"/>
              </w:rPr>
              <w:t>4</w:t>
            </w:r>
            <w:r w:rsidRPr="0001365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  <w:shd w:val="clear" w:color="auto" w:fill="auto"/>
          </w:tcPr>
          <w:p w14:paraId="5F0A4517" w14:textId="1F4143CE" w:rsidR="00B66A21" w:rsidRPr="00013654" w:rsidRDefault="00537E1D" w:rsidP="009E40D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3B742B">
              <w:rPr>
                <w:rFonts w:ascii="Arial" w:hAnsi="Arial" w:cs="Arial"/>
                <w:sz w:val="20"/>
                <w:szCs w:val="20"/>
              </w:rPr>
              <w:t>5</w:t>
            </w:r>
            <w:r w:rsidR="00220A17">
              <w:rPr>
                <w:rFonts w:ascii="Arial" w:hAnsi="Arial" w:cs="Arial"/>
                <w:sz w:val="20"/>
                <w:szCs w:val="20"/>
              </w:rPr>
              <w:t>2</w:t>
            </w:r>
            <w:r w:rsidR="006119FC">
              <w:rPr>
                <w:rFonts w:ascii="Arial" w:hAnsi="Arial" w:cs="Arial"/>
                <w:sz w:val="20"/>
                <w:szCs w:val="20"/>
              </w:rPr>
              <w:t>,</w:t>
            </w:r>
            <w:r w:rsidR="003B742B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3420" w:type="dxa"/>
            <w:shd w:val="clear" w:color="auto" w:fill="auto"/>
          </w:tcPr>
          <w:p w14:paraId="28097B3E" w14:textId="5D0C3ACF" w:rsidR="00B66A21" w:rsidRPr="00013654" w:rsidRDefault="003B742B" w:rsidP="00B77F6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537E1D" w:rsidRPr="000136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6D96814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1EABEE3" w14:textId="77777777" w:rsidR="002153F0" w:rsidRDefault="00AC3659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  <w:vertAlign w:val="superscript"/>
        </w:rPr>
        <w:t xml:space="preserve">* </w:t>
      </w:r>
      <w:r w:rsidRPr="00DC3ED7">
        <w:rPr>
          <w:rFonts w:ascii="Arial" w:hAnsi="Arial" w:cs="Arial"/>
          <w:sz w:val="18"/>
          <w:szCs w:val="20"/>
        </w:rPr>
        <w:t xml:space="preserve">Committed; the actual budget </w:t>
      </w:r>
      <w:r w:rsidR="00C67DCD" w:rsidRPr="00DC3ED7">
        <w:rPr>
          <w:rFonts w:ascii="Arial" w:hAnsi="Arial" w:cs="Arial"/>
          <w:sz w:val="18"/>
          <w:szCs w:val="20"/>
        </w:rPr>
        <w:t xml:space="preserve">contracted </w:t>
      </w:r>
      <w:r w:rsidR="00C67DCD">
        <w:rPr>
          <w:rFonts w:ascii="Arial" w:hAnsi="Arial" w:cs="Arial"/>
          <w:sz w:val="18"/>
          <w:szCs w:val="20"/>
        </w:rPr>
        <w:t xml:space="preserve">with VTTI </w:t>
      </w:r>
      <w:r w:rsidRPr="00DC3ED7">
        <w:rPr>
          <w:rFonts w:ascii="Arial" w:hAnsi="Arial" w:cs="Arial"/>
          <w:sz w:val="18"/>
          <w:szCs w:val="20"/>
        </w:rPr>
        <w:t>is $</w:t>
      </w:r>
      <w:r w:rsidR="002153F0">
        <w:rPr>
          <w:rFonts w:ascii="Arial" w:hAnsi="Arial" w:cs="Arial"/>
          <w:sz w:val="18"/>
          <w:szCs w:val="20"/>
        </w:rPr>
        <w:t>1,</w:t>
      </w:r>
      <w:r w:rsidR="0062583A">
        <w:rPr>
          <w:rFonts w:ascii="Arial" w:hAnsi="Arial" w:cs="Arial"/>
          <w:sz w:val="18"/>
          <w:szCs w:val="20"/>
        </w:rPr>
        <w:t>283</w:t>
      </w:r>
      <w:r w:rsidRPr="00DC3ED7">
        <w:rPr>
          <w:rFonts w:ascii="Arial" w:hAnsi="Arial" w:cs="Arial"/>
          <w:sz w:val="18"/>
          <w:szCs w:val="20"/>
        </w:rPr>
        <w:t>,</w:t>
      </w:r>
      <w:r w:rsidR="002153F0">
        <w:rPr>
          <w:rFonts w:ascii="Arial" w:hAnsi="Arial" w:cs="Arial"/>
          <w:sz w:val="18"/>
          <w:szCs w:val="20"/>
        </w:rPr>
        <w:t>77</w:t>
      </w:r>
      <w:r w:rsidR="0062583A">
        <w:rPr>
          <w:rFonts w:ascii="Arial" w:hAnsi="Arial" w:cs="Arial"/>
          <w:sz w:val="18"/>
          <w:szCs w:val="20"/>
        </w:rPr>
        <w:t>4</w:t>
      </w:r>
    </w:p>
    <w:p w14:paraId="65A9DD8F" w14:textId="77777777" w:rsidR="00037FBC" w:rsidRPr="00DC3ED7" w:rsidRDefault="00037FBC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7175D2B" w14:textId="77777777" w:rsidTr="00601EBD">
        <w:tc>
          <w:tcPr>
            <w:tcW w:w="10908" w:type="dxa"/>
          </w:tcPr>
          <w:p w14:paraId="40A5A1A6" w14:textId="77777777" w:rsidR="00601EBD" w:rsidRDefault="00601EBD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3729F5" w14:textId="77777777" w:rsidR="00E970B6" w:rsidRDefault="00E970B6" w:rsidP="00E970B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 xml:space="preserve">his program of research focuses on optimizing pavement surface texture characteristics. 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Phase I of the program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demonstrated that a collaborative research program can provide an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accessible and efficient way for highway agencies and other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organizations to conduct research on pavement surface properties.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This second phase focus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 xml:space="preserve"> on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addressing some of the emerging challenges in the evaluation of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pavement surface properties and the changes needed to best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 xml:space="preserve">support the next generation of pavement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and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asset management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systems, including support for MAP21-related initiatives.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The program 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>includ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 xml:space="preserve"> the following main broad activities: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equipment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comparisons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(2) t</w:t>
            </w:r>
            <w:r w:rsidRPr="00961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echnology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61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ransfer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and (3) r</w:t>
            </w:r>
            <w:r w:rsidRPr="00961740">
              <w:rPr>
                <w:rFonts w:ascii="Times New Roman" w:hAnsi="Times New Roman" w:cs="Times New Roman"/>
                <w:sz w:val="20"/>
                <w:szCs w:val="20"/>
              </w:rPr>
              <w:t xml:space="preserve">esearch 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61740">
              <w:rPr>
                <w:rFonts w:ascii="Times New Roman" w:hAnsi="Times New Roman" w:cs="Times New Roman"/>
                <w:sz w:val="20"/>
                <w:szCs w:val="20"/>
              </w:rPr>
              <w:t xml:space="preserve">merging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61740">
              <w:rPr>
                <w:rFonts w:ascii="Times New Roman" w:hAnsi="Times New Roman" w:cs="Times New Roman"/>
                <w:sz w:val="20"/>
                <w:szCs w:val="20"/>
              </w:rPr>
              <w:t>opics.</w:t>
            </w:r>
          </w:p>
          <w:p w14:paraId="38516E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E13A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4D3941" w14:paraId="4E3E2ED2" w14:textId="77777777" w:rsidTr="00601EBD">
        <w:tc>
          <w:tcPr>
            <w:tcW w:w="10908" w:type="dxa"/>
          </w:tcPr>
          <w:p w14:paraId="222425F7" w14:textId="77777777" w:rsidR="00601EBD" w:rsidRPr="000360F4" w:rsidRDefault="00601EBD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360F4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3F4AA0F" w14:textId="709B8479" w:rsidR="000360F4" w:rsidRDefault="002574E2" w:rsidP="000669F1">
            <w:pPr>
              <w:pStyle w:val="ListBullet"/>
            </w:pPr>
            <w:r>
              <w:t xml:space="preserve">Participated in </w:t>
            </w:r>
            <w:r w:rsidR="001F2C29">
              <w:t xml:space="preserve">a Peer Exchange  on Pavement Friction Management (PFM) and </w:t>
            </w:r>
            <w:r w:rsidRPr="001F2C29">
              <w:t>Continuous Pavement Friction Measurement (</w:t>
            </w:r>
            <w:proofErr w:type="spellStart"/>
            <w:r w:rsidRPr="001F2C29">
              <w:t>CPFM</w:t>
            </w:r>
            <w:proofErr w:type="spellEnd"/>
            <w:r w:rsidRPr="001F2C29">
              <w:t xml:space="preserve">) </w:t>
            </w:r>
            <w:r w:rsidR="001F2C29">
              <w:t xml:space="preserve">meeting </w:t>
            </w:r>
            <w:r>
              <w:t xml:space="preserve">organized </w:t>
            </w:r>
            <w:r>
              <w:t xml:space="preserve">by </w:t>
            </w:r>
            <w:r>
              <w:t>t</w:t>
            </w:r>
            <w:r w:rsidRPr="001F2C29">
              <w:t xml:space="preserve">he FHWA </w:t>
            </w:r>
            <w:r w:rsidR="001F2C29">
              <w:t xml:space="preserve">in Louisville, Kentucky on July 26-27 to discuss the findings of all the states where CPFM has made demonstrations to date. This event had roundtable discussions to evaluate what should be some of the short/intermediate/and long-term list of actions that should be taken to </w:t>
            </w:r>
            <w:r w:rsidR="000669F1">
              <w:t>continue improving/implementing PFM and CPFM.</w:t>
            </w:r>
          </w:p>
          <w:p w14:paraId="4F61390F" w14:textId="27742D1E" w:rsidR="000669F1" w:rsidRDefault="000669F1" w:rsidP="000669F1">
            <w:pPr>
              <w:pStyle w:val="ListBullet"/>
            </w:pPr>
            <w:r>
              <w:t xml:space="preserve">The </w:t>
            </w:r>
            <w:r w:rsidRPr="00FE5E80">
              <w:t>1</w:t>
            </w:r>
            <w:r>
              <w:t>4</w:t>
            </w:r>
            <w:r w:rsidRPr="00FE5E80">
              <w:t xml:space="preserve">th Annual Surface Properties Rodeo </w:t>
            </w:r>
            <w:r>
              <w:t xml:space="preserve">was held </w:t>
            </w:r>
            <w:r w:rsidRPr="00FC60CA">
              <w:t xml:space="preserve">at the Virginia Smart Road on </w:t>
            </w:r>
            <w:r>
              <w:t>August</w:t>
            </w:r>
            <w:r w:rsidRPr="00FC60CA">
              <w:t xml:space="preserve"> </w:t>
            </w:r>
            <w:r>
              <w:t>8</w:t>
            </w:r>
            <w:r w:rsidRPr="00FC60CA">
              <w:t>-</w:t>
            </w:r>
            <w:r>
              <w:t>11</w:t>
            </w:r>
            <w:r w:rsidRPr="00FC60CA">
              <w:t>, 20</w:t>
            </w:r>
            <w:r>
              <w:t>22</w:t>
            </w:r>
            <w:r w:rsidR="00DB19E2">
              <w:t>, with the participation of 9 state members, 1 state non-member, FHWA, IGGA, NCAT, VTRC, VTTI, and over ten (10) private company representatives and operators</w:t>
            </w:r>
            <w:r>
              <w:t>.</w:t>
            </w:r>
          </w:p>
          <w:p w14:paraId="5FD6CAD7" w14:textId="061D2E3C" w:rsidR="000669F1" w:rsidRDefault="000669F1" w:rsidP="000669F1">
            <w:pPr>
              <w:pStyle w:val="ListBullet"/>
              <w:numPr>
                <w:ilvl w:val="1"/>
                <w:numId w:val="16"/>
              </w:numPr>
            </w:pPr>
            <w:r>
              <w:t xml:space="preserve">The emphasis of the Rodeo this year was to </w:t>
            </w:r>
            <w:r w:rsidR="002574E2">
              <w:t xml:space="preserve">conduct </w:t>
            </w:r>
            <w:r>
              <w:t xml:space="preserve">friction and macrotexture measurements on the Smart Road with static and dynamic equipment </w:t>
            </w:r>
            <w:r w:rsidR="00360B65">
              <w:t>to e</w:t>
            </w:r>
            <w:r w:rsidR="00360B65" w:rsidRPr="00360B65">
              <w:t xml:space="preserve">valuate relationships between different testing systems that are used in the field </w:t>
            </w:r>
            <w:r w:rsidR="002574E2">
              <w:t xml:space="preserve">and asses their sensitivity to </w:t>
            </w:r>
            <w:r w:rsidR="00360B65" w:rsidRPr="00360B65">
              <w:t xml:space="preserve">friction characteristics (e.g., macrotexture </w:t>
            </w:r>
            <w:r w:rsidR="002574E2">
              <w:t xml:space="preserve">vs. </w:t>
            </w:r>
            <w:proofErr w:type="spellStart"/>
            <w:r w:rsidR="00360B65" w:rsidRPr="00360B65">
              <w:t>microtexture</w:t>
            </w:r>
            <w:proofErr w:type="spellEnd"/>
            <w:r w:rsidR="00360B65" w:rsidRPr="00360B65">
              <w:t>)</w:t>
            </w:r>
            <w:r w:rsidR="00360B65">
              <w:t xml:space="preserve">. </w:t>
            </w:r>
            <w:r w:rsidR="00360B65" w:rsidRPr="00360B65">
              <w:t xml:space="preserve">Testing systems </w:t>
            </w:r>
            <w:r w:rsidR="00360B65">
              <w:t>were</w:t>
            </w:r>
            <w:r w:rsidR="00360B65" w:rsidRPr="00360B65">
              <w:t xml:space="preserve"> provided by agencies, manufacturers, integrators, and service providers at their expense.</w:t>
            </w:r>
          </w:p>
          <w:p w14:paraId="6DD0A9B7" w14:textId="0FA838A2" w:rsidR="000669F1" w:rsidRDefault="000669F1" w:rsidP="00C45D99">
            <w:pPr>
              <w:pStyle w:val="ListBullet"/>
              <w:numPr>
                <w:ilvl w:val="1"/>
                <w:numId w:val="16"/>
              </w:numPr>
            </w:pPr>
            <w:r w:rsidRPr="00DC1E9F">
              <w:t xml:space="preserve">Friction measurements were </w:t>
            </w:r>
            <w:r w:rsidR="002574E2">
              <w:t xml:space="preserve">conducted </w:t>
            </w:r>
            <w:r>
              <w:t xml:space="preserve">at </w:t>
            </w:r>
            <w:r w:rsidR="00360B65">
              <w:t xml:space="preserve">30, </w:t>
            </w:r>
            <w:r>
              <w:t xml:space="preserve">40 and </w:t>
            </w:r>
            <w:r w:rsidR="00360B65">
              <w:t>5</w:t>
            </w:r>
            <w:r>
              <w:t xml:space="preserve">0 mph with the </w:t>
            </w:r>
            <w:r w:rsidR="00360B65">
              <w:t>seven (7) locked-wheel skid testers (</w:t>
            </w:r>
            <w:r>
              <w:t>LWST</w:t>
            </w:r>
            <w:r w:rsidR="00360B65">
              <w:t xml:space="preserve">), and six different types of continuous friction measurement equipment (CFME). Macrotexture measurements were made with one stationary, two walk behind, and five (5) dynamic texture measurement devices. Additionally, friction data </w:t>
            </w:r>
            <w:r w:rsidR="002574E2">
              <w:t xml:space="preserve">was also collected with </w:t>
            </w:r>
            <w:r w:rsidR="00360B65">
              <w:t xml:space="preserve">an instrumented vehicle and from a walk behind </w:t>
            </w:r>
            <w:r w:rsidR="00C45D99">
              <w:t>device.</w:t>
            </w:r>
          </w:p>
          <w:p w14:paraId="790BCC23" w14:textId="41CC01BA" w:rsidR="000669F1" w:rsidRPr="00AF7BED" w:rsidRDefault="00C45D99" w:rsidP="002574E2">
            <w:pPr>
              <w:pStyle w:val="ListBullet"/>
            </w:pPr>
            <w:r>
              <w:t xml:space="preserve">The Consortium </w:t>
            </w:r>
            <w:r w:rsidRPr="00BC77BD">
              <w:t>Tec</w:t>
            </w:r>
            <w:r>
              <w:t>h</w:t>
            </w:r>
            <w:r w:rsidRPr="00BC77BD">
              <w:t>nical Advisory Committee (TAC) also met during the rodeo</w:t>
            </w:r>
            <w:r w:rsidR="000669F1">
              <w:t xml:space="preserve">.  The TAC approved to hold </w:t>
            </w:r>
            <w:r>
              <w:t>next</w:t>
            </w:r>
            <w:r w:rsidR="000669F1">
              <w:t xml:space="preserve"> year’s meeting in conjunction with the </w:t>
            </w:r>
            <w:r>
              <w:t xml:space="preserve">2023 Road Profilers Users Group </w:t>
            </w:r>
            <w:r w:rsidR="000669F1">
              <w:t xml:space="preserve">Conference in </w:t>
            </w:r>
            <w:r>
              <w:t>O’Fallon</w:t>
            </w:r>
            <w:r w:rsidR="000669F1">
              <w:t xml:space="preserve">, </w:t>
            </w:r>
            <w:r>
              <w:t>IL</w:t>
            </w:r>
            <w:r w:rsidR="000669F1">
              <w:t xml:space="preserve"> </w:t>
            </w:r>
            <w:r>
              <w:t>i</w:t>
            </w:r>
            <w:r w:rsidR="000669F1">
              <w:t xml:space="preserve">n </w:t>
            </w:r>
            <w:r>
              <w:t>May 2023</w:t>
            </w:r>
            <w:r w:rsidR="000669F1">
              <w:t xml:space="preserve">.  </w:t>
            </w:r>
            <w:r w:rsidR="000669F1" w:rsidRPr="00AF7BED">
              <w:t xml:space="preserve">The report of the measurements </w:t>
            </w:r>
            <w:r w:rsidR="000669F1">
              <w:t xml:space="preserve">done in the Rodeo </w:t>
            </w:r>
            <w:r w:rsidR="000669F1" w:rsidRPr="00AF7BED">
              <w:t xml:space="preserve">will be reviewed </w:t>
            </w:r>
            <w:r>
              <w:t xml:space="preserve">before the </w:t>
            </w:r>
            <w:r w:rsidR="000669F1" w:rsidRPr="00AF7BED">
              <w:t>RPUG meeting</w:t>
            </w:r>
            <w:r>
              <w:t xml:space="preserve"> and presented during RPUG</w:t>
            </w:r>
            <w:r w:rsidR="000669F1" w:rsidRPr="00AF7BED">
              <w:t>.</w:t>
            </w:r>
            <w:r>
              <w:t xml:space="preserve"> There were ten (10) presentations made by all the manufacturers that brought equipment to the Rodeo</w:t>
            </w:r>
            <w:r w:rsidR="00A762EC">
              <w:t>. Additionally, there was a presentation on Concrete Diamond Grinding and another one on shot blasting for texturing pavements.</w:t>
            </w:r>
          </w:p>
          <w:p w14:paraId="70B6333E" w14:textId="6B55ED2C" w:rsidR="00822EB5" w:rsidRDefault="00822EB5" w:rsidP="000669F1">
            <w:pPr>
              <w:pStyle w:val="ListBullet"/>
            </w:pPr>
            <w:r w:rsidRPr="000360F4">
              <w:t xml:space="preserve">Edgar de León Izeppi participated in the ATSSA </w:t>
            </w:r>
            <w:r w:rsidR="00DB19E2">
              <w:t xml:space="preserve">Midyear Meeting </w:t>
            </w:r>
            <w:r w:rsidRPr="000360F4">
              <w:t xml:space="preserve">in </w:t>
            </w:r>
            <w:r w:rsidR="00DB19E2">
              <w:t xml:space="preserve">Providence, Rhode Island, </w:t>
            </w:r>
            <w:r w:rsidRPr="000360F4">
              <w:t xml:space="preserve">on </w:t>
            </w:r>
            <w:r w:rsidR="00DB19E2">
              <w:t>August 23-26</w:t>
            </w:r>
            <w:r w:rsidRPr="000360F4">
              <w:t xml:space="preserve">, 2022, at the High Friction Surface Treatment Council. He made </w:t>
            </w:r>
            <w:r w:rsidR="00DB19E2">
              <w:t>two</w:t>
            </w:r>
            <w:r w:rsidRPr="000360F4">
              <w:t xml:space="preserve"> presentation</w:t>
            </w:r>
            <w:r w:rsidR="00DB19E2">
              <w:t>s</w:t>
            </w:r>
            <w:r w:rsidRPr="000360F4">
              <w:t xml:space="preserve"> about </w:t>
            </w:r>
            <w:r w:rsidR="00DB19E2">
              <w:t xml:space="preserve">an update on the FHWA </w:t>
            </w:r>
            <w:r w:rsidRPr="000360F4">
              <w:t xml:space="preserve">CPFM Friction Related Research </w:t>
            </w:r>
            <w:r w:rsidR="00DB19E2">
              <w:t xml:space="preserve">and about the list of Research Needs Statements </w:t>
            </w:r>
            <w:r w:rsidR="00AA41FB">
              <w:t xml:space="preserve">(RNS) </w:t>
            </w:r>
            <w:r w:rsidRPr="000360F4">
              <w:t xml:space="preserve">that </w:t>
            </w:r>
            <w:r w:rsidR="00DB19E2">
              <w:t xml:space="preserve">are being worked on by </w:t>
            </w:r>
            <w:r w:rsidRPr="000360F4">
              <w:t>the Pavement Surface Properties Pooled Fund Project TPF-5(345/463).</w:t>
            </w:r>
            <w:r w:rsidR="00AA41FB">
              <w:t xml:space="preserve"> These RNS were started </w:t>
            </w:r>
            <w:r w:rsidR="00B82D2D">
              <w:t>during the last Rodeo held in Blacksburg on August 8-12.</w:t>
            </w:r>
          </w:p>
          <w:p w14:paraId="025B5FA5" w14:textId="1F27BBF5" w:rsidR="00AA41FB" w:rsidRPr="000360F4" w:rsidRDefault="00B82D2D" w:rsidP="000669F1">
            <w:pPr>
              <w:pStyle w:val="ListBullet"/>
            </w:pPr>
            <w:r w:rsidRPr="00B82D2D">
              <w:t xml:space="preserve">The FHWA SCRIM was used </w:t>
            </w:r>
            <w:r w:rsidR="002574E2">
              <w:t xml:space="preserve">to support a FHWA </w:t>
            </w:r>
            <w:r w:rsidRPr="00B82D2D">
              <w:t>Continuous Pavement Friction Measurement (</w:t>
            </w:r>
            <w:proofErr w:type="spellStart"/>
            <w:r w:rsidRPr="00B82D2D">
              <w:t>CPFM</w:t>
            </w:r>
            <w:proofErr w:type="spellEnd"/>
            <w:r w:rsidRPr="00B82D2D">
              <w:t xml:space="preserve">) </w:t>
            </w:r>
            <w:r w:rsidR="002574E2">
              <w:t xml:space="preserve">in </w:t>
            </w:r>
            <w:r w:rsidRPr="00B82D2D">
              <w:t xml:space="preserve">three demonstrations of the CFM equipment in </w:t>
            </w:r>
            <w:r>
              <w:t>Vermont, New Hampshire, and Rhode Island,</w:t>
            </w:r>
            <w:r w:rsidRPr="00B82D2D">
              <w:t xml:space="preserve"> where around 150 miles were surveyed in each state.  These results will be presented to the DOTs after merging the data with crashes and pavement surface mix types.</w:t>
            </w:r>
          </w:p>
          <w:p w14:paraId="19F90CB3" w14:textId="428243FB" w:rsidR="006A0EC7" w:rsidRPr="000360F4" w:rsidRDefault="006A0EC7" w:rsidP="000669F1">
            <w:pPr>
              <w:pStyle w:val="ListBullet"/>
            </w:pPr>
            <w:r w:rsidRPr="000360F4">
              <w:t xml:space="preserve">The </w:t>
            </w:r>
            <w:r w:rsidR="00B63F8C" w:rsidRPr="000360F4">
              <w:t xml:space="preserve">Pooled Fund </w:t>
            </w:r>
            <w:r w:rsidRPr="000360F4">
              <w:t xml:space="preserve">TAC members and other invited </w:t>
            </w:r>
            <w:r w:rsidR="00AA41FB" w:rsidRPr="000360F4">
              <w:t>guests</w:t>
            </w:r>
            <w:r w:rsidRPr="000360F4">
              <w:t xml:space="preserve"> held </w:t>
            </w:r>
            <w:r w:rsidR="00AA41FB">
              <w:t>several</w:t>
            </w:r>
            <w:r w:rsidRPr="000360F4">
              <w:t xml:space="preserve"> virtual meeting</w:t>
            </w:r>
            <w:r w:rsidR="00AA41FB">
              <w:t>s</w:t>
            </w:r>
            <w:r w:rsidRPr="000360F4">
              <w:t xml:space="preserve"> in this quarter</w:t>
            </w:r>
            <w:r w:rsidR="00B82D2D">
              <w:t xml:space="preserve"> related to the RNS task forces that were formed</w:t>
            </w:r>
            <w:r w:rsidRPr="000360F4">
              <w:t xml:space="preserve">. </w:t>
            </w:r>
            <w:r w:rsidR="00B82D2D">
              <w:t xml:space="preserve">The objective of these groups is to work on an RNS for each topic and submit it to the pooled fund to decide whether to </w:t>
            </w:r>
            <w:r w:rsidR="00A87D34">
              <w:t xml:space="preserve">propose them </w:t>
            </w:r>
            <w:r w:rsidR="00B82D2D">
              <w:t>to the TRB-NCHRP</w:t>
            </w:r>
            <w:r w:rsidR="00A87D34">
              <w:t xml:space="preserve"> process or seek for another mechanism to perform the research. </w:t>
            </w:r>
            <w:r w:rsidRPr="000360F4">
              <w:t>The following were some of the topics discussed</w:t>
            </w:r>
            <w:r w:rsidR="00A87D34">
              <w:t xml:space="preserve"> during this quarter</w:t>
            </w:r>
            <w:r w:rsidRPr="000360F4">
              <w:t>:</w:t>
            </w:r>
          </w:p>
          <w:p w14:paraId="0268F47D" w14:textId="7B773C92" w:rsidR="006A0EC7" w:rsidRDefault="00B82D2D" w:rsidP="00B82D2D">
            <w:pPr>
              <w:pStyle w:val="ListBullet"/>
              <w:numPr>
                <w:ilvl w:val="2"/>
                <w:numId w:val="16"/>
              </w:numPr>
            </w:pPr>
            <w:r>
              <w:t>Macrotexture for Raveling and Safety RNS task force</w:t>
            </w:r>
            <w:r w:rsidR="002574E2">
              <w:t xml:space="preserve">, </w:t>
            </w:r>
            <w:r w:rsidR="002574E2">
              <w:t>August 30</w:t>
            </w:r>
            <w:r>
              <w:t>.</w:t>
            </w:r>
          </w:p>
          <w:p w14:paraId="6CF6DF6F" w14:textId="4E59A06C" w:rsidR="00B82D2D" w:rsidRDefault="00B82D2D" w:rsidP="00B82D2D">
            <w:pPr>
              <w:pStyle w:val="ListBullet"/>
              <w:numPr>
                <w:ilvl w:val="2"/>
                <w:numId w:val="16"/>
              </w:numPr>
            </w:pPr>
            <w:r>
              <w:t xml:space="preserve">Asphalt based </w:t>
            </w:r>
            <w:proofErr w:type="spellStart"/>
            <w:r>
              <w:t>HFST</w:t>
            </w:r>
            <w:proofErr w:type="spellEnd"/>
            <w:r>
              <w:t xml:space="preserve"> treatments</w:t>
            </w:r>
            <w:r w:rsidR="002574E2">
              <w:t xml:space="preserve">, </w:t>
            </w:r>
            <w:r w:rsidR="002574E2">
              <w:t>September 8</w:t>
            </w:r>
            <w:r>
              <w:t>.</w:t>
            </w:r>
          </w:p>
          <w:p w14:paraId="644CDBFF" w14:textId="0F64ECF4" w:rsidR="00B82D2D" w:rsidRDefault="002574E2" w:rsidP="00B82D2D">
            <w:pPr>
              <w:pStyle w:val="ListBullet"/>
              <w:numPr>
                <w:ilvl w:val="2"/>
                <w:numId w:val="16"/>
              </w:numPr>
            </w:pPr>
            <w:r>
              <w:t>G</w:t>
            </w:r>
            <w:r w:rsidR="00B82D2D">
              <w:t xml:space="preserve">uidance for </w:t>
            </w:r>
            <w:proofErr w:type="spellStart"/>
            <w:r w:rsidR="00B82D2D">
              <w:t>HFST</w:t>
            </w:r>
            <w:proofErr w:type="spellEnd"/>
            <w:r w:rsidR="00B82D2D">
              <w:t xml:space="preserve"> applications lengths</w:t>
            </w:r>
            <w:r>
              <w:t xml:space="preserve">, </w:t>
            </w:r>
            <w:r>
              <w:t>September 9</w:t>
            </w:r>
            <w:r w:rsidR="00B82D2D">
              <w:t>.</w:t>
            </w:r>
          </w:p>
          <w:p w14:paraId="7E63DCC4" w14:textId="70326E28" w:rsidR="00B82D2D" w:rsidRPr="000360F4" w:rsidRDefault="00B82D2D" w:rsidP="00B82D2D">
            <w:pPr>
              <w:pStyle w:val="ListBullet"/>
              <w:numPr>
                <w:ilvl w:val="2"/>
                <w:numId w:val="16"/>
              </w:numPr>
            </w:pPr>
            <w:r>
              <w:t>Epoxy application amounts based on surface macrotexture</w:t>
            </w:r>
            <w:r w:rsidR="002574E2">
              <w:t xml:space="preserve">, </w:t>
            </w:r>
            <w:r w:rsidR="002574E2">
              <w:t xml:space="preserve">September </w:t>
            </w:r>
            <w:r w:rsidR="002574E2">
              <w:t>2</w:t>
            </w:r>
            <w:r w:rsidR="002574E2">
              <w:t>9</w:t>
            </w:r>
            <w:r>
              <w:t>.</w:t>
            </w:r>
          </w:p>
          <w:p w14:paraId="25109ECF" w14:textId="77777777" w:rsidR="0031189F" w:rsidRDefault="00373EB8" w:rsidP="00A87D34">
            <w:pPr>
              <w:pStyle w:val="ListBullet"/>
            </w:pPr>
            <w:r w:rsidRPr="000360F4">
              <w:t>CSRI c</w:t>
            </w:r>
            <w:r w:rsidR="006A0EC7" w:rsidRPr="000360F4">
              <w:t>ontinued the processing and analysis of the data collected in Illinois.</w:t>
            </w:r>
          </w:p>
          <w:p w14:paraId="5E21B589" w14:textId="59B8E406" w:rsidR="002574E2" w:rsidRPr="00A87D34" w:rsidRDefault="002574E2" w:rsidP="002574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2971744" w14:textId="198865A3" w:rsidR="00081B03" w:rsidRPr="004D3941" w:rsidRDefault="00081B03" w:rsidP="00A335B6">
      <w:pPr>
        <w:spacing w:after="0"/>
        <w:ind w:lef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6B5228B" w14:textId="77777777" w:rsidTr="009E2027">
        <w:tc>
          <w:tcPr>
            <w:tcW w:w="10908" w:type="dxa"/>
          </w:tcPr>
          <w:p w14:paraId="39645189" w14:textId="77777777" w:rsidR="00601EBD" w:rsidRPr="00A87D34" w:rsidRDefault="00601EBD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D34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A87D3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98D9B2" w14:textId="0A1DBC2B" w:rsidR="006A15C6" w:rsidRPr="00A87D34" w:rsidRDefault="007A6473" w:rsidP="002C4A0F">
            <w:pPr>
              <w:pStyle w:val="ListBullet"/>
            </w:pPr>
            <w:r>
              <w:t>C</w:t>
            </w:r>
            <w:r w:rsidR="00E5463F" w:rsidRPr="00A87D34">
              <w:t xml:space="preserve">ontinue </w:t>
            </w:r>
            <w:r w:rsidR="00A87D34">
              <w:t>processing the Rodeo data to present to the TAC group and all other participants before the end of the year</w:t>
            </w:r>
            <w:r w:rsidR="00E5463F" w:rsidRPr="00A87D34">
              <w:t>.</w:t>
            </w:r>
          </w:p>
          <w:p w14:paraId="3D77060E" w14:textId="77777777" w:rsidR="002A43D5" w:rsidRDefault="007A6473" w:rsidP="00A87D34">
            <w:pPr>
              <w:pStyle w:val="ListBullet"/>
            </w:pPr>
            <w:r>
              <w:t xml:space="preserve">Organize </w:t>
            </w:r>
            <w:r w:rsidR="00A87D34">
              <w:t>an</w:t>
            </w:r>
            <w:r w:rsidR="00C66F9C" w:rsidRPr="00A87D34">
              <w:t xml:space="preserve"> in-person </w:t>
            </w:r>
            <w:r w:rsidR="00A335B6" w:rsidRPr="00A87D34">
              <w:t>TAC meeting</w:t>
            </w:r>
            <w:r w:rsidR="00E5463F" w:rsidRPr="00A87D34">
              <w:t>s</w:t>
            </w:r>
            <w:r w:rsidR="00A335B6" w:rsidRPr="00A87D34">
              <w:t xml:space="preserve"> </w:t>
            </w:r>
            <w:r w:rsidR="00A87D34">
              <w:t xml:space="preserve">during the </w:t>
            </w:r>
            <w:r w:rsidR="00C66F9C" w:rsidRPr="00A87D34">
              <w:t xml:space="preserve">RPUG conference </w:t>
            </w:r>
            <w:r w:rsidR="00A87D34">
              <w:t>Illinois</w:t>
            </w:r>
            <w:r w:rsidR="00A335B6" w:rsidRPr="00A87D34">
              <w:t>.</w:t>
            </w:r>
            <w:r w:rsidR="00A87D34">
              <w:t xml:space="preserve"> Similarly, the plan is to hold the annual Rodeo event in 2023 in the new ICART test track in Illinois.</w:t>
            </w:r>
          </w:p>
          <w:p w14:paraId="754582BA" w14:textId="09A942DE" w:rsidR="002574E2" w:rsidRPr="00C66F9C" w:rsidRDefault="002574E2" w:rsidP="002574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6DFAE378" w14:textId="77777777" w:rsidR="00037FBC" w:rsidRDefault="00037FBC" w:rsidP="00161B1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FCFA14B" w14:textId="77777777" w:rsidTr="00601EBD">
        <w:tc>
          <w:tcPr>
            <w:tcW w:w="10908" w:type="dxa"/>
          </w:tcPr>
          <w:p w14:paraId="4CF55C8B" w14:textId="77777777" w:rsidR="00325D71" w:rsidRDefault="00601EBD" w:rsidP="00C67DCD">
            <w:pPr>
              <w:spacing w:before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7BEC1456" w14:textId="77777777" w:rsidR="00065F89" w:rsidRPr="00065F89" w:rsidRDefault="00065F89" w:rsidP="00A335B6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AD53143" w14:textId="77777777" w:rsidR="00FF6695" w:rsidRDefault="00FF6695" w:rsidP="007C0A0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6B9ECC" w14:textId="77777777" w:rsidR="00030DDE" w:rsidRDefault="00030DDE" w:rsidP="009E326D">
      <w:pPr>
        <w:spacing w:after="0" w:line="240" w:lineRule="auto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B9BC650" w14:textId="77777777" w:rsidTr="00601EBD">
        <w:tc>
          <w:tcPr>
            <w:tcW w:w="10908" w:type="dxa"/>
          </w:tcPr>
          <w:p w14:paraId="1AB7EF2C" w14:textId="77777777" w:rsidR="00601EBD" w:rsidRDefault="00601EBD" w:rsidP="00C67DCD">
            <w:pPr>
              <w:spacing w:before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14:paraId="1D5F369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DFCE5" w14:textId="77777777" w:rsidR="006A15C6" w:rsidRPr="006A15C6" w:rsidRDefault="006A15C6" w:rsidP="006A1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13E53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7E44AA81" w14:textId="77777777" w:rsidTr="00E35E0F">
        <w:tc>
          <w:tcPr>
            <w:tcW w:w="10908" w:type="dxa"/>
          </w:tcPr>
          <w:p w14:paraId="504C8BDA" w14:textId="77777777" w:rsidR="00E35E0F" w:rsidRDefault="00E35E0F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39DF820" w14:textId="77777777" w:rsidR="006B676C" w:rsidRPr="006119FC" w:rsidRDefault="006B676C" w:rsidP="006119FC">
            <w:pPr>
              <w:spacing w:before="120"/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E10A0" w14:textId="0FF71FDB" w:rsidR="00E35E0F" w:rsidRDefault="00EA6442" w:rsidP="00EA6442">
      <w:pPr>
        <w:tabs>
          <w:tab w:val="left" w:pos="8780"/>
        </w:tabs>
        <w:spacing w:after="0"/>
        <w:ind w:left="-720" w:right="-72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ab/>
      </w:r>
    </w:p>
    <w:p w14:paraId="168DBC0C" w14:textId="5673E7A2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378A126F" w14:textId="46F20B55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4EA9A201" w14:textId="5CB8F04E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3DE7C869" w14:textId="00004974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260E8A6F" w14:textId="16E18D02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65EB4E55" w14:textId="0F28ED19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301C7FDF" w14:textId="506252CC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670F2C35" w14:textId="4C1FCDC3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7B2589E1" w14:textId="6A2766FC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04A6C145" w14:textId="0C5120E1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1F66FCAE" w14:textId="4CF867BE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70B0B744" w14:textId="4673A456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5D74622A" w14:textId="54E6C6D0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3466066F" w14:textId="4911A73E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4549C3F9" w14:textId="39F0081D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48742683" w14:textId="2AF65199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46A52489" w14:textId="48778053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2B82C0DA" w14:textId="522D36B9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2B9934A5" w14:textId="2F8564D3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2B79C60D" w14:textId="79AF9A90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60C98F34" w14:textId="2F87B8B3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04C579B5" w14:textId="26DABD97" w:rsidR="003D7C27" w:rsidRP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30A82379" w14:textId="3D6595B9" w:rsidR="003D7C27" w:rsidRDefault="003D7C27" w:rsidP="003D7C27">
      <w:pPr>
        <w:rPr>
          <w:rFonts w:ascii="Arial" w:hAnsi="Arial" w:cs="Arial"/>
          <w:sz w:val="12"/>
          <w:szCs w:val="20"/>
        </w:rPr>
      </w:pPr>
    </w:p>
    <w:p w14:paraId="7D2DBFF5" w14:textId="77777777" w:rsidR="003D7C27" w:rsidRPr="003D7C27" w:rsidRDefault="003D7C27" w:rsidP="003D7C27">
      <w:pPr>
        <w:jc w:val="right"/>
        <w:rPr>
          <w:rFonts w:ascii="Arial" w:hAnsi="Arial" w:cs="Arial"/>
          <w:sz w:val="12"/>
          <w:szCs w:val="20"/>
        </w:rPr>
      </w:pPr>
    </w:p>
    <w:sectPr w:rsidR="003D7C27" w:rsidRPr="003D7C27" w:rsidSect="004E1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40BA" w14:textId="77777777" w:rsidR="004B7F5C" w:rsidRDefault="004B7F5C" w:rsidP="00106C83">
      <w:pPr>
        <w:spacing w:after="0" w:line="240" w:lineRule="auto"/>
      </w:pPr>
      <w:r>
        <w:separator/>
      </w:r>
    </w:p>
  </w:endnote>
  <w:endnote w:type="continuationSeparator" w:id="0">
    <w:p w14:paraId="2CA48779" w14:textId="77777777" w:rsidR="004B7F5C" w:rsidRDefault="004B7F5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386B" w14:textId="77777777" w:rsidR="00EA6442" w:rsidRDefault="00EA6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FB42" w14:textId="37DC5284" w:rsidR="007C6596" w:rsidRPr="00FF6695" w:rsidRDefault="007C6596" w:rsidP="00785665">
    <w:pPr>
      <w:pStyle w:val="Footer"/>
      <w:ind w:left="-360"/>
      <w:rPr>
        <w:sz w:val="18"/>
      </w:rPr>
    </w:pPr>
    <w:r w:rsidRPr="00FF6695">
      <w:rPr>
        <w:sz w:val="18"/>
      </w:rPr>
      <w:t>TPF Program Standar</w:t>
    </w:r>
    <w:r w:rsidR="00C661C3" w:rsidRPr="00FF6695">
      <w:rPr>
        <w:sz w:val="18"/>
      </w:rPr>
      <w:t xml:space="preserve">d Quarterly Reporting Format </w:t>
    </w:r>
    <w:r w:rsidR="00FF6695" w:rsidRPr="00FF6695">
      <w:rPr>
        <w:sz w:val="18"/>
      </w:rPr>
      <w:tab/>
    </w:r>
    <w:r w:rsidR="00FF6695" w:rsidRPr="00FF6695">
      <w:rPr>
        <w:sz w:val="18"/>
      </w:rPr>
      <w:tab/>
      <w:t>0</w:t>
    </w:r>
    <w:r w:rsidR="003D7C27">
      <w:rPr>
        <w:sz w:val="18"/>
      </w:rPr>
      <w:t>9</w:t>
    </w:r>
    <w:r w:rsidRPr="00FF6695">
      <w:rPr>
        <w:sz w:val="18"/>
      </w:rPr>
      <w:t>/20</w:t>
    </w:r>
    <w:r w:rsidR="003D7C27">
      <w:rPr>
        <w:sz w:val="18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3739" w14:textId="77777777" w:rsidR="00EA6442" w:rsidRDefault="00EA6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0178" w14:textId="77777777" w:rsidR="004B7F5C" w:rsidRDefault="004B7F5C" w:rsidP="00106C83">
      <w:pPr>
        <w:spacing w:after="0" w:line="240" w:lineRule="auto"/>
      </w:pPr>
      <w:r>
        <w:separator/>
      </w:r>
    </w:p>
  </w:footnote>
  <w:footnote w:type="continuationSeparator" w:id="0">
    <w:p w14:paraId="395BBC00" w14:textId="77777777" w:rsidR="004B7F5C" w:rsidRDefault="004B7F5C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837E" w14:textId="77777777" w:rsidR="00EA6442" w:rsidRDefault="00EA6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F11F" w14:textId="77777777" w:rsidR="00EA6442" w:rsidRDefault="00EA6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32E" w14:textId="77777777" w:rsidR="00EA6442" w:rsidRDefault="00EA6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FF0"/>
    <w:multiLevelType w:val="hybridMultilevel"/>
    <w:tmpl w:val="792046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510FECC">
      <w:start w:val="1"/>
      <w:numFmt w:val="bullet"/>
      <w:lvlText w:val="-"/>
      <w:lvlJc w:val="left"/>
      <w:pPr>
        <w:ind w:left="3240" w:hanging="36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3323B6"/>
    <w:multiLevelType w:val="hybridMultilevel"/>
    <w:tmpl w:val="773A7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69C"/>
    <w:multiLevelType w:val="hybridMultilevel"/>
    <w:tmpl w:val="6EDA13FC"/>
    <w:lvl w:ilvl="0" w:tplc="03227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D5AF1"/>
    <w:multiLevelType w:val="hybridMultilevel"/>
    <w:tmpl w:val="DF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6ED"/>
    <w:multiLevelType w:val="hybridMultilevel"/>
    <w:tmpl w:val="A3EE5466"/>
    <w:lvl w:ilvl="0" w:tplc="3F2C0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AD1"/>
    <w:multiLevelType w:val="hybridMultilevel"/>
    <w:tmpl w:val="6602E098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0B3B"/>
    <w:multiLevelType w:val="hybridMultilevel"/>
    <w:tmpl w:val="F1E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60BD0"/>
    <w:multiLevelType w:val="hybridMultilevel"/>
    <w:tmpl w:val="DB14092C"/>
    <w:lvl w:ilvl="0" w:tplc="A2C02146">
      <w:start w:val="1"/>
      <w:numFmt w:val="bullet"/>
      <w:lvlText w:val=""/>
      <w:lvlJc w:val="left"/>
      <w:pPr>
        <w:ind w:left="-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F8F01E1"/>
    <w:multiLevelType w:val="hybridMultilevel"/>
    <w:tmpl w:val="54C2307C"/>
    <w:lvl w:ilvl="0" w:tplc="60F2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3699A"/>
    <w:multiLevelType w:val="hybridMultilevel"/>
    <w:tmpl w:val="E2707000"/>
    <w:lvl w:ilvl="0" w:tplc="04090003">
      <w:start w:val="1"/>
      <w:numFmt w:val="bullet"/>
      <w:pStyle w:val="List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E06B50"/>
    <w:multiLevelType w:val="singleLevel"/>
    <w:tmpl w:val="FFFFFFFF"/>
    <w:lvl w:ilvl="0">
      <w:numFmt w:val="decimal"/>
      <w:pStyle w:val="Heading6"/>
      <w:lvlText w:val="%1"/>
      <w:legacy w:legacy="1" w:legacySpace="0" w:legacyIndent="0"/>
      <w:lvlJc w:val="left"/>
    </w:lvl>
  </w:abstractNum>
  <w:abstractNum w:abstractNumId="11" w15:restartNumberingAfterBreak="0">
    <w:nsid w:val="4DBF6BFF"/>
    <w:multiLevelType w:val="hybridMultilevel"/>
    <w:tmpl w:val="ECAC12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284A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B506A"/>
    <w:multiLevelType w:val="hybridMultilevel"/>
    <w:tmpl w:val="43E625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D1797"/>
    <w:multiLevelType w:val="hybridMultilevel"/>
    <w:tmpl w:val="C16608DE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15DF6"/>
    <w:multiLevelType w:val="hybridMultilevel"/>
    <w:tmpl w:val="06E8427E"/>
    <w:lvl w:ilvl="0" w:tplc="162C1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E5326B"/>
    <w:multiLevelType w:val="hybridMultilevel"/>
    <w:tmpl w:val="062CFEEC"/>
    <w:lvl w:ilvl="0" w:tplc="877AB2F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8043D"/>
    <w:multiLevelType w:val="hybridMultilevel"/>
    <w:tmpl w:val="7ECA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53AF5"/>
    <w:multiLevelType w:val="hybridMultilevel"/>
    <w:tmpl w:val="AB267DEE"/>
    <w:lvl w:ilvl="0" w:tplc="ACFA9D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2C42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774F4A"/>
    <w:multiLevelType w:val="hybridMultilevel"/>
    <w:tmpl w:val="04CC71CA"/>
    <w:lvl w:ilvl="0" w:tplc="CDA81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35854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6"/>
  </w:num>
  <w:num w:numId="9">
    <w:abstractNumId w:val="11"/>
  </w:num>
  <w:num w:numId="10">
    <w:abstractNumId w:val="6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7"/>
  </w:num>
  <w:num w:numId="15">
    <w:abstractNumId w:val="1"/>
  </w:num>
  <w:num w:numId="16">
    <w:abstractNumId w:val="9"/>
  </w:num>
  <w:num w:numId="17">
    <w:abstractNumId w:val="2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3654"/>
    <w:rsid w:val="00015C19"/>
    <w:rsid w:val="00017EDC"/>
    <w:rsid w:val="00030DDE"/>
    <w:rsid w:val="000360F4"/>
    <w:rsid w:val="00037FBC"/>
    <w:rsid w:val="00043A25"/>
    <w:rsid w:val="000639FA"/>
    <w:rsid w:val="00065F89"/>
    <w:rsid w:val="000669F1"/>
    <w:rsid w:val="00071138"/>
    <w:rsid w:val="000736BB"/>
    <w:rsid w:val="00073DB6"/>
    <w:rsid w:val="00081B03"/>
    <w:rsid w:val="000835C2"/>
    <w:rsid w:val="00092B3E"/>
    <w:rsid w:val="000A026F"/>
    <w:rsid w:val="000B47C1"/>
    <w:rsid w:val="000B665A"/>
    <w:rsid w:val="000C0738"/>
    <w:rsid w:val="000D2033"/>
    <w:rsid w:val="000F310F"/>
    <w:rsid w:val="000F323E"/>
    <w:rsid w:val="000F3FFD"/>
    <w:rsid w:val="001067EB"/>
    <w:rsid w:val="00106C83"/>
    <w:rsid w:val="001116BE"/>
    <w:rsid w:val="00121B0F"/>
    <w:rsid w:val="0013749E"/>
    <w:rsid w:val="00144D5C"/>
    <w:rsid w:val="001457E1"/>
    <w:rsid w:val="001547D0"/>
    <w:rsid w:val="0015565F"/>
    <w:rsid w:val="00157CA5"/>
    <w:rsid w:val="00157FA5"/>
    <w:rsid w:val="00161153"/>
    <w:rsid w:val="00161B11"/>
    <w:rsid w:val="001623E5"/>
    <w:rsid w:val="0016651F"/>
    <w:rsid w:val="0017682D"/>
    <w:rsid w:val="001B7FAF"/>
    <w:rsid w:val="001C6A9D"/>
    <w:rsid w:val="001D6F84"/>
    <w:rsid w:val="001E1289"/>
    <w:rsid w:val="001F2C29"/>
    <w:rsid w:val="002033E0"/>
    <w:rsid w:val="0021446D"/>
    <w:rsid w:val="002153F0"/>
    <w:rsid w:val="002176D1"/>
    <w:rsid w:val="00217989"/>
    <w:rsid w:val="00220A17"/>
    <w:rsid w:val="0022278A"/>
    <w:rsid w:val="00222791"/>
    <w:rsid w:val="00224DFB"/>
    <w:rsid w:val="002311F8"/>
    <w:rsid w:val="00233DC0"/>
    <w:rsid w:val="00243BCD"/>
    <w:rsid w:val="00252329"/>
    <w:rsid w:val="00252905"/>
    <w:rsid w:val="002574E2"/>
    <w:rsid w:val="00261012"/>
    <w:rsid w:val="002675DD"/>
    <w:rsid w:val="00267C32"/>
    <w:rsid w:val="00286045"/>
    <w:rsid w:val="00293FD8"/>
    <w:rsid w:val="002A04A4"/>
    <w:rsid w:val="002A3C74"/>
    <w:rsid w:val="002A43D5"/>
    <w:rsid w:val="002A7632"/>
    <w:rsid w:val="002A79C8"/>
    <w:rsid w:val="002B19D5"/>
    <w:rsid w:val="002C1EFB"/>
    <w:rsid w:val="002C4A0F"/>
    <w:rsid w:val="002D3790"/>
    <w:rsid w:val="002E1374"/>
    <w:rsid w:val="002E2339"/>
    <w:rsid w:val="0031189F"/>
    <w:rsid w:val="0032198A"/>
    <w:rsid w:val="00324DF4"/>
    <w:rsid w:val="00325D71"/>
    <w:rsid w:val="0032621C"/>
    <w:rsid w:val="00334597"/>
    <w:rsid w:val="00336E75"/>
    <w:rsid w:val="0034001D"/>
    <w:rsid w:val="003439BA"/>
    <w:rsid w:val="00346ACA"/>
    <w:rsid w:val="00356277"/>
    <w:rsid w:val="00357CB1"/>
    <w:rsid w:val="003607C7"/>
    <w:rsid w:val="00360B65"/>
    <w:rsid w:val="003716E9"/>
    <w:rsid w:val="00373EB8"/>
    <w:rsid w:val="0038334D"/>
    <w:rsid w:val="0038705A"/>
    <w:rsid w:val="00387A28"/>
    <w:rsid w:val="003A46E3"/>
    <w:rsid w:val="003A68ED"/>
    <w:rsid w:val="003B29F7"/>
    <w:rsid w:val="003B2CA0"/>
    <w:rsid w:val="003B5206"/>
    <w:rsid w:val="003B742B"/>
    <w:rsid w:val="003C6D71"/>
    <w:rsid w:val="003D7C27"/>
    <w:rsid w:val="003F239C"/>
    <w:rsid w:val="003F4D26"/>
    <w:rsid w:val="003F7C7B"/>
    <w:rsid w:val="0040025E"/>
    <w:rsid w:val="004144E6"/>
    <w:rsid w:val="004156B2"/>
    <w:rsid w:val="00437734"/>
    <w:rsid w:val="00465702"/>
    <w:rsid w:val="00470B28"/>
    <w:rsid w:val="00474F12"/>
    <w:rsid w:val="00477F5F"/>
    <w:rsid w:val="0048189C"/>
    <w:rsid w:val="0048228E"/>
    <w:rsid w:val="00487387"/>
    <w:rsid w:val="004A0469"/>
    <w:rsid w:val="004B6570"/>
    <w:rsid w:val="004B7F5C"/>
    <w:rsid w:val="004C0ADB"/>
    <w:rsid w:val="004C51C9"/>
    <w:rsid w:val="004D2B7E"/>
    <w:rsid w:val="004D3941"/>
    <w:rsid w:val="004D7731"/>
    <w:rsid w:val="004E1234"/>
    <w:rsid w:val="004E14DC"/>
    <w:rsid w:val="004E52FA"/>
    <w:rsid w:val="004F4F5B"/>
    <w:rsid w:val="00513DDE"/>
    <w:rsid w:val="00514190"/>
    <w:rsid w:val="00535598"/>
    <w:rsid w:val="00537E1D"/>
    <w:rsid w:val="0054112E"/>
    <w:rsid w:val="00543B73"/>
    <w:rsid w:val="00546B87"/>
    <w:rsid w:val="00546CA6"/>
    <w:rsid w:val="00547EE3"/>
    <w:rsid w:val="00551D8A"/>
    <w:rsid w:val="00553A65"/>
    <w:rsid w:val="00567D90"/>
    <w:rsid w:val="00567EB7"/>
    <w:rsid w:val="005760C2"/>
    <w:rsid w:val="00581B36"/>
    <w:rsid w:val="00583E8E"/>
    <w:rsid w:val="00594EA6"/>
    <w:rsid w:val="005A03BB"/>
    <w:rsid w:val="005A6F03"/>
    <w:rsid w:val="005A7C69"/>
    <w:rsid w:val="005B5B17"/>
    <w:rsid w:val="005D22D5"/>
    <w:rsid w:val="005E1A9C"/>
    <w:rsid w:val="005E39D5"/>
    <w:rsid w:val="005F4FF1"/>
    <w:rsid w:val="00601EBD"/>
    <w:rsid w:val="006119FC"/>
    <w:rsid w:val="006125CD"/>
    <w:rsid w:val="00622057"/>
    <w:rsid w:val="006245F6"/>
    <w:rsid w:val="0062583A"/>
    <w:rsid w:val="00626D74"/>
    <w:rsid w:val="00627D7C"/>
    <w:rsid w:val="00636FA3"/>
    <w:rsid w:val="00643598"/>
    <w:rsid w:val="006475FB"/>
    <w:rsid w:val="00660BBD"/>
    <w:rsid w:val="00663063"/>
    <w:rsid w:val="006640FE"/>
    <w:rsid w:val="006668AC"/>
    <w:rsid w:val="00682C5E"/>
    <w:rsid w:val="00687E8F"/>
    <w:rsid w:val="006A0EC7"/>
    <w:rsid w:val="006A15C6"/>
    <w:rsid w:val="006A6B04"/>
    <w:rsid w:val="006B520C"/>
    <w:rsid w:val="006B676C"/>
    <w:rsid w:val="006D0F2F"/>
    <w:rsid w:val="006E36E5"/>
    <w:rsid w:val="006F1A73"/>
    <w:rsid w:val="006F4DE7"/>
    <w:rsid w:val="00710D77"/>
    <w:rsid w:val="007210C9"/>
    <w:rsid w:val="00721EB1"/>
    <w:rsid w:val="00725872"/>
    <w:rsid w:val="00726BC0"/>
    <w:rsid w:val="00743C01"/>
    <w:rsid w:val="00754431"/>
    <w:rsid w:val="007778D4"/>
    <w:rsid w:val="00781985"/>
    <w:rsid w:val="00782C81"/>
    <w:rsid w:val="00785665"/>
    <w:rsid w:val="00790C4A"/>
    <w:rsid w:val="007A0B22"/>
    <w:rsid w:val="007A6473"/>
    <w:rsid w:val="007A7282"/>
    <w:rsid w:val="007C0A0D"/>
    <w:rsid w:val="007C6596"/>
    <w:rsid w:val="007D6122"/>
    <w:rsid w:val="007E3929"/>
    <w:rsid w:val="007E5406"/>
    <w:rsid w:val="007E5BD2"/>
    <w:rsid w:val="007F0B49"/>
    <w:rsid w:val="0082086B"/>
    <w:rsid w:val="00822EB5"/>
    <w:rsid w:val="00823070"/>
    <w:rsid w:val="00834893"/>
    <w:rsid w:val="00835592"/>
    <w:rsid w:val="008478B2"/>
    <w:rsid w:val="00860DCA"/>
    <w:rsid w:val="00865C89"/>
    <w:rsid w:val="00871DB0"/>
    <w:rsid w:val="00872F18"/>
    <w:rsid w:val="00874EF7"/>
    <w:rsid w:val="008778F7"/>
    <w:rsid w:val="008975DF"/>
    <w:rsid w:val="008A0888"/>
    <w:rsid w:val="008A47F9"/>
    <w:rsid w:val="008A63C9"/>
    <w:rsid w:val="008A6C9B"/>
    <w:rsid w:val="008A6E13"/>
    <w:rsid w:val="008B0F4B"/>
    <w:rsid w:val="008C13A1"/>
    <w:rsid w:val="008C61BB"/>
    <w:rsid w:val="008E50C7"/>
    <w:rsid w:val="008F6625"/>
    <w:rsid w:val="00901FD6"/>
    <w:rsid w:val="009056D1"/>
    <w:rsid w:val="00911332"/>
    <w:rsid w:val="009122B6"/>
    <w:rsid w:val="00915E08"/>
    <w:rsid w:val="009172A9"/>
    <w:rsid w:val="009232A1"/>
    <w:rsid w:val="00927393"/>
    <w:rsid w:val="00937DF9"/>
    <w:rsid w:val="00953360"/>
    <w:rsid w:val="00954876"/>
    <w:rsid w:val="0098292D"/>
    <w:rsid w:val="009934BD"/>
    <w:rsid w:val="00993FA4"/>
    <w:rsid w:val="00994250"/>
    <w:rsid w:val="009A4F69"/>
    <w:rsid w:val="009B6D14"/>
    <w:rsid w:val="009D524D"/>
    <w:rsid w:val="009E1205"/>
    <w:rsid w:val="009E2027"/>
    <w:rsid w:val="009E2199"/>
    <w:rsid w:val="009E3189"/>
    <w:rsid w:val="009E326D"/>
    <w:rsid w:val="009E37FD"/>
    <w:rsid w:val="009E40DC"/>
    <w:rsid w:val="009E5C3A"/>
    <w:rsid w:val="009F5502"/>
    <w:rsid w:val="00A03A73"/>
    <w:rsid w:val="00A150C1"/>
    <w:rsid w:val="00A223F7"/>
    <w:rsid w:val="00A335B6"/>
    <w:rsid w:val="00A363B4"/>
    <w:rsid w:val="00A426AA"/>
    <w:rsid w:val="00A43875"/>
    <w:rsid w:val="00A55F58"/>
    <w:rsid w:val="00A63677"/>
    <w:rsid w:val="00A6455C"/>
    <w:rsid w:val="00A650B5"/>
    <w:rsid w:val="00A67C21"/>
    <w:rsid w:val="00A75FA6"/>
    <w:rsid w:val="00A762EC"/>
    <w:rsid w:val="00A83399"/>
    <w:rsid w:val="00A87D34"/>
    <w:rsid w:val="00A90A9C"/>
    <w:rsid w:val="00A96CEC"/>
    <w:rsid w:val="00AA41FB"/>
    <w:rsid w:val="00AB0EC2"/>
    <w:rsid w:val="00AC21BA"/>
    <w:rsid w:val="00AC3659"/>
    <w:rsid w:val="00AC6C20"/>
    <w:rsid w:val="00AD5602"/>
    <w:rsid w:val="00AE46B0"/>
    <w:rsid w:val="00AE6ED9"/>
    <w:rsid w:val="00AF7BED"/>
    <w:rsid w:val="00B1735E"/>
    <w:rsid w:val="00B178AA"/>
    <w:rsid w:val="00B2185C"/>
    <w:rsid w:val="00B242E2"/>
    <w:rsid w:val="00B30B4F"/>
    <w:rsid w:val="00B3255B"/>
    <w:rsid w:val="00B37675"/>
    <w:rsid w:val="00B52E36"/>
    <w:rsid w:val="00B5516F"/>
    <w:rsid w:val="00B63F8C"/>
    <w:rsid w:val="00B66A21"/>
    <w:rsid w:val="00B77F66"/>
    <w:rsid w:val="00B82D2D"/>
    <w:rsid w:val="00B855E1"/>
    <w:rsid w:val="00B913E8"/>
    <w:rsid w:val="00B97171"/>
    <w:rsid w:val="00BA26ED"/>
    <w:rsid w:val="00BA3B78"/>
    <w:rsid w:val="00BA4370"/>
    <w:rsid w:val="00BA7D0E"/>
    <w:rsid w:val="00BB4CAE"/>
    <w:rsid w:val="00BC77BD"/>
    <w:rsid w:val="00BD21B7"/>
    <w:rsid w:val="00BD4281"/>
    <w:rsid w:val="00BD568D"/>
    <w:rsid w:val="00BF65F3"/>
    <w:rsid w:val="00C00EA1"/>
    <w:rsid w:val="00C12257"/>
    <w:rsid w:val="00C13753"/>
    <w:rsid w:val="00C271F4"/>
    <w:rsid w:val="00C31A0A"/>
    <w:rsid w:val="00C36549"/>
    <w:rsid w:val="00C45D99"/>
    <w:rsid w:val="00C57652"/>
    <w:rsid w:val="00C61AA6"/>
    <w:rsid w:val="00C660BE"/>
    <w:rsid w:val="00C661C3"/>
    <w:rsid w:val="00C66F9C"/>
    <w:rsid w:val="00C67DCD"/>
    <w:rsid w:val="00C74EA5"/>
    <w:rsid w:val="00C75E1F"/>
    <w:rsid w:val="00C84F67"/>
    <w:rsid w:val="00CA58CE"/>
    <w:rsid w:val="00CC4F3E"/>
    <w:rsid w:val="00CD7ECB"/>
    <w:rsid w:val="00CE35C0"/>
    <w:rsid w:val="00CE652D"/>
    <w:rsid w:val="00CE6EEB"/>
    <w:rsid w:val="00CF0482"/>
    <w:rsid w:val="00CF1CAD"/>
    <w:rsid w:val="00D05DC0"/>
    <w:rsid w:val="00D11019"/>
    <w:rsid w:val="00D22FE6"/>
    <w:rsid w:val="00D27742"/>
    <w:rsid w:val="00D3415F"/>
    <w:rsid w:val="00D4425A"/>
    <w:rsid w:val="00D4619F"/>
    <w:rsid w:val="00D55AF8"/>
    <w:rsid w:val="00D55EF6"/>
    <w:rsid w:val="00D96AE3"/>
    <w:rsid w:val="00DA4934"/>
    <w:rsid w:val="00DA6A82"/>
    <w:rsid w:val="00DB19E2"/>
    <w:rsid w:val="00DB3E7C"/>
    <w:rsid w:val="00DC1E9F"/>
    <w:rsid w:val="00DC3ED7"/>
    <w:rsid w:val="00DD070D"/>
    <w:rsid w:val="00DD6162"/>
    <w:rsid w:val="00DD7144"/>
    <w:rsid w:val="00DF29C6"/>
    <w:rsid w:val="00DF6D61"/>
    <w:rsid w:val="00E04D6D"/>
    <w:rsid w:val="00E0596B"/>
    <w:rsid w:val="00E07306"/>
    <w:rsid w:val="00E33481"/>
    <w:rsid w:val="00E33DCD"/>
    <w:rsid w:val="00E35E0F"/>
    <w:rsid w:val="00E371D1"/>
    <w:rsid w:val="00E42A12"/>
    <w:rsid w:val="00E53738"/>
    <w:rsid w:val="00E5463F"/>
    <w:rsid w:val="00E57F1E"/>
    <w:rsid w:val="00E744D1"/>
    <w:rsid w:val="00E749B6"/>
    <w:rsid w:val="00E750BB"/>
    <w:rsid w:val="00E8230E"/>
    <w:rsid w:val="00E8334E"/>
    <w:rsid w:val="00E965BC"/>
    <w:rsid w:val="00E970B6"/>
    <w:rsid w:val="00EA1E17"/>
    <w:rsid w:val="00EA5953"/>
    <w:rsid w:val="00EA6442"/>
    <w:rsid w:val="00EB2D61"/>
    <w:rsid w:val="00EC3C13"/>
    <w:rsid w:val="00ED2355"/>
    <w:rsid w:val="00ED5F67"/>
    <w:rsid w:val="00EF08AE"/>
    <w:rsid w:val="00EF4CB4"/>
    <w:rsid w:val="00EF5790"/>
    <w:rsid w:val="00F00AD8"/>
    <w:rsid w:val="00F1051C"/>
    <w:rsid w:val="00F20DFC"/>
    <w:rsid w:val="00F238B7"/>
    <w:rsid w:val="00F32697"/>
    <w:rsid w:val="00F45001"/>
    <w:rsid w:val="00F45250"/>
    <w:rsid w:val="00F56588"/>
    <w:rsid w:val="00F57425"/>
    <w:rsid w:val="00F66259"/>
    <w:rsid w:val="00F701FF"/>
    <w:rsid w:val="00F7207E"/>
    <w:rsid w:val="00F90869"/>
    <w:rsid w:val="00F910EB"/>
    <w:rsid w:val="00F96A2F"/>
    <w:rsid w:val="00FA1E5D"/>
    <w:rsid w:val="00FB1C8E"/>
    <w:rsid w:val="00FB57E9"/>
    <w:rsid w:val="00FD0285"/>
    <w:rsid w:val="00FD7052"/>
    <w:rsid w:val="00FE0C50"/>
    <w:rsid w:val="00FE34B9"/>
    <w:rsid w:val="00FE5E80"/>
    <w:rsid w:val="00FE6120"/>
    <w:rsid w:val="00FF32BE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CCFCF"/>
  <w15:docId w15:val="{CFA56775-7756-45FC-A58F-8D1463F4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2C4A0F"/>
    <w:pPr>
      <w:numPr>
        <w:numId w:val="16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1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70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4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78E0-CB36-450A-B5E9-5EEABFDF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Gerardo Flintsch</cp:lastModifiedBy>
  <cp:revision>3</cp:revision>
  <cp:lastPrinted>2015-01-29T15:17:00Z</cp:lastPrinted>
  <dcterms:created xsi:type="dcterms:W3CDTF">2023-05-24T12:34:00Z</dcterms:created>
  <dcterms:modified xsi:type="dcterms:W3CDTF">2023-05-24T12:41:00Z</dcterms:modified>
</cp:coreProperties>
</file>