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024CD" w14:textId="77777777" w:rsidR="00EC7465" w:rsidRDefault="00EC7465" w:rsidP="00EC7465">
      <w:pPr>
        <w:pStyle w:val="APTechH1"/>
        <w:spacing w:after="0" w:line="240" w:lineRule="auto"/>
      </w:pPr>
      <w:r>
        <w:t>Questions &amp; Answers</w:t>
      </w:r>
    </w:p>
    <w:p w14:paraId="4CED21DD" w14:textId="02EE1875" w:rsidR="00145C9B" w:rsidRDefault="00EC7465" w:rsidP="00EC7465">
      <w:pPr>
        <w:pStyle w:val="APTechH1"/>
        <w:spacing w:after="0" w:line="240" w:lineRule="auto"/>
      </w:pPr>
      <w:r>
        <w:t>FHWA PMEUG Software Training Webinar #</w:t>
      </w:r>
      <w:r w:rsidR="004578FB">
        <w:t>5</w:t>
      </w:r>
    </w:p>
    <w:p w14:paraId="4B6C7E1C" w14:textId="77777777" w:rsidR="00EC7465" w:rsidRPr="00EC7465" w:rsidRDefault="00EC7465" w:rsidP="00EC7465"/>
    <w:tbl>
      <w:tblPr>
        <w:tblStyle w:val="APTechTableStyle"/>
        <w:tblW w:w="0" w:type="auto"/>
        <w:jc w:val="center"/>
        <w:tblCellMar>
          <w:top w:w="14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1646"/>
        <w:gridCol w:w="3023"/>
        <w:gridCol w:w="5381"/>
      </w:tblGrid>
      <w:tr w:rsidR="00A80296" w:rsidRPr="001116D6" w14:paraId="4E98C4BF" w14:textId="77777777" w:rsidTr="00457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dxa"/>
            <w:tcMar>
              <w:top w:w="0" w:type="nil"/>
              <w:left w:w="0" w:type="nil"/>
              <w:bottom w:w="0" w:type="nil"/>
              <w:right w:w="0" w:type="nil"/>
            </w:tcMar>
            <w:hideMark/>
          </w:tcPr>
          <w:p w14:paraId="64A9C95A" w14:textId="77777777" w:rsidR="001116D6" w:rsidRPr="00EC7465" w:rsidRDefault="001116D6" w:rsidP="001116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465">
              <w:rPr>
                <w:rFonts w:ascii="Times New Roman" w:hAnsi="Times New Roman" w:cs="Times New Roman"/>
                <w:sz w:val="18"/>
                <w:szCs w:val="18"/>
              </w:rPr>
              <w:t>Training Topic</w:t>
            </w:r>
          </w:p>
        </w:tc>
        <w:tc>
          <w:tcPr>
            <w:tcW w:w="3023" w:type="dxa"/>
            <w:tcMar>
              <w:top w:w="0" w:type="nil"/>
              <w:left w:w="0" w:type="nil"/>
              <w:bottom w:w="0" w:type="nil"/>
              <w:right w:w="0" w:type="nil"/>
            </w:tcMar>
            <w:hideMark/>
          </w:tcPr>
          <w:p w14:paraId="609E6D24" w14:textId="77777777" w:rsidR="001116D6" w:rsidRPr="00EC7465" w:rsidRDefault="001116D6" w:rsidP="001116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7465">
              <w:rPr>
                <w:rFonts w:ascii="Times New Roman" w:hAnsi="Times New Roman" w:cs="Times New Roman"/>
                <w:sz w:val="18"/>
                <w:szCs w:val="18"/>
              </w:rPr>
              <w:t>Question</w:t>
            </w:r>
          </w:p>
        </w:tc>
        <w:tc>
          <w:tcPr>
            <w:tcW w:w="5381" w:type="dxa"/>
            <w:tcMar>
              <w:top w:w="0" w:type="nil"/>
              <w:left w:w="0" w:type="nil"/>
              <w:bottom w:w="0" w:type="nil"/>
              <w:right w:w="0" w:type="nil"/>
            </w:tcMar>
            <w:hideMark/>
          </w:tcPr>
          <w:p w14:paraId="609EA1EC" w14:textId="77777777" w:rsidR="001116D6" w:rsidRDefault="001116D6" w:rsidP="001116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C7465">
              <w:rPr>
                <w:rFonts w:ascii="Times New Roman" w:hAnsi="Times New Roman" w:cs="Times New Roman"/>
                <w:sz w:val="18"/>
                <w:szCs w:val="18"/>
              </w:rPr>
              <w:t>Response</w:t>
            </w:r>
          </w:p>
          <w:p w14:paraId="38CDEA0D" w14:textId="11345E2F" w:rsidR="00325D03" w:rsidRPr="00EC7465" w:rsidRDefault="00325D03" w:rsidP="001116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(Note: Shaded cells reflect responses given in the webinar, while unshaded cells contain responses </w:t>
            </w:r>
            <w:r w:rsidR="005916C2">
              <w:rPr>
                <w:rFonts w:ascii="Times New Roman" w:hAnsi="Times New Roman" w:cs="Times New Roman"/>
                <w:sz w:val="18"/>
                <w:szCs w:val="18"/>
              </w:rPr>
              <w:t xml:space="preserve">prepared following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 webinar)</w:t>
            </w:r>
          </w:p>
        </w:tc>
      </w:tr>
      <w:tr w:rsidR="00A80296" w:rsidRPr="001116D6" w14:paraId="7BE2ACEB" w14:textId="77777777" w:rsidTr="004578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dxa"/>
            <w:tcBorders>
              <w:top w:val="double" w:sz="4" w:space="0" w:color="auto"/>
              <w:bottom w:val="single" w:sz="6" w:space="0" w:color="000000"/>
            </w:tcBorders>
            <w:shd w:val="clear" w:color="auto" w:fill="auto"/>
            <w:tcMar>
              <w:top w:w="0" w:type="nil"/>
              <w:left w:w="0" w:type="nil"/>
              <w:bottom w:w="0" w:type="nil"/>
              <w:right w:w="0" w:type="nil"/>
            </w:tcMar>
            <w:vAlign w:val="top"/>
            <w:hideMark/>
          </w:tcPr>
          <w:p w14:paraId="55C0ACED" w14:textId="4827CA39" w:rsidR="00675FB5" w:rsidRPr="00EC7465" w:rsidRDefault="004578FB" w:rsidP="00675F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</w:t>
            </w:r>
            <w:r w:rsidR="00675FB5" w:rsidRPr="00EC74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75FB5" w:rsidRPr="00EC7465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Administrative-Level Implementation Activities</w:t>
            </w:r>
          </w:p>
        </w:tc>
        <w:tc>
          <w:tcPr>
            <w:tcW w:w="3023" w:type="dxa"/>
            <w:tcBorders>
              <w:top w:val="double" w:sz="4" w:space="0" w:color="auto"/>
              <w:bottom w:val="single" w:sz="6" w:space="0" w:color="000000"/>
            </w:tcBorders>
            <w:shd w:val="clear" w:color="auto" w:fill="auto"/>
            <w:tcMar>
              <w:top w:w="0" w:type="nil"/>
              <w:left w:w="0" w:type="nil"/>
              <w:bottom w:w="0" w:type="nil"/>
              <w:right w:w="0" w:type="nil"/>
            </w:tcMar>
            <w:vAlign w:val="top"/>
          </w:tcPr>
          <w:p w14:paraId="5BB6DC42" w14:textId="53049006" w:rsidR="00675FB5" w:rsidRPr="00EC7465" w:rsidRDefault="00C95E78" w:rsidP="00675FB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5381" w:type="dxa"/>
            <w:tcBorders>
              <w:top w:val="double" w:sz="4" w:space="0" w:color="auto"/>
              <w:bottom w:val="single" w:sz="6" w:space="0" w:color="000000"/>
            </w:tcBorders>
            <w:shd w:val="clear" w:color="auto" w:fill="auto"/>
            <w:tcMar>
              <w:top w:w="0" w:type="nil"/>
              <w:left w:w="0" w:type="nil"/>
              <w:bottom w:w="0" w:type="nil"/>
              <w:right w:w="0" w:type="nil"/>
            </w:tcMar>
            <w:vAlign w:val="top"/>
          </w:tcPr>
          <w:p w14:paraId="112CB9DA" w14:textId="41AB120E" w:rsidR="00675FB5" w:rsidRPr="00EC7465" w:rsidRDefault="00302D2F" w:rsidP="00675FB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</w:tr>
      <w:tr w:rsidR="00CC4833" w:rsidRPr="001116D6" w14:paraId="7D9E522E" w14:textId="77777777" w:rsidTr="00E718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dxa"/>
            <w:vMerge w:val="restart"/>
            <w:tcBorders>
              <w:top w:val="single" w:sz="6" w:space="0" w:color="000000"/>
            </w:tcBorders>
            <w:shd w:val="clear" w:color="auto" w:fill="auto"/>
            <w:tcMar>
              <w:top w:w="0" w:type="nil"/>
              <w:left w:w="0" w:type="nil"/>
              <w:bottom w:w="0" w:type="nil"/>
              <w:right w:w="0" w:type="nil"/>
            </w:tcMar>
            <w:vAlign w:val="top"/>
          </w:tcPr>
          <w:p w14:paraId="3C897724" w14:textId="6F150C39" w:rsidR="00CC4833" w:rsidRPr="00EC7465" w:rsidRDefault="00CC4833" w:rsidP="00CC48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</w:t>
            </w:r>
            <w:r w:rsidRPr="00EC74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C7465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Technical-Level Implementation Activities</w:t>
            </w:r>
          </w:p>
        </w:tc>
        <w:tc>
          <w:tcPr>
            <w:tcW w:w="302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nil"/>
              <w:left w:w="0" w:type="nil"/>
              <w:bottom w:w="0" w:type="nil"/>
              <w:right w:w="0" w:type="nil"/>
            </w:tcMar>
            <w:vAlign w:val="top"/>
          </w:tcPr>
          <w:p w14:paraId="00AC7ABF" w14:textId="55A0B9A9" w:rsidR="00CC4833" w:rsidRPr="00867E0C" w:rsidRDefault="00CC4833" w:rsidP="00CC483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4833">
              <w:rPr>
                <w:rFonts w:ascii="Times New Roman" w:hAnsi="Times New Roman" w:cs="Times New Roman"/>
                <w:sz w:val="18"/>
                <w:szCs w:val="18"/>
              </w:rPr>
              <w:t xml:space="preserve">Are </w:t>
            </w:r>
            <w:r w:rsidR="008D688E">
              <w:rPr>
                <w:rFonts w:ascii="Times New Roman" w:hAnsi="Times New Roman" w:cs="Times New Roman"/>
                <w:sz w:val="18"/>
                <w:szCs w:val="18"/>
              </w:rPr>
              <w:t xml:space="preserve">the NJDOT </w:t>
            </w:r>
            <w:r w:rsidRPr="00CC4833">
              <w:rPr>
                <w:rFonts w:ascii="Times New Roman" w:hAnsi="Times New Roman" w:cs="Times New Roman"/>
                <w:sz w:val="18"/>
                <w:szCs w:val="18"/>
              </w:rPr>
              <w:t xml:space="preserve">xml traffic files available </w:t>
            </w:r>
            <w:r w:rsidR="008D688E">
              <w:rPr>
                <w:rFonts w:ascii="Times New Roman" w:hAnsi="Times New Roman" w:cs="Times New Roman"/>
                <w:sz w:val="18"/>
                <w:szCs w:val="18"/>
              </w:rPr>
              <w:t>to the</w:t>
            </w:r>
            <w:r w:rsidR="008D688E" w:rsidRPr="00CC48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4833">
              <w:rPr>
                <w:rFonts w:ascii="Times New Roman" w:hAnsi="Times New Roman" w:cs="Times New Roman"/>
                <w:sz w:val="18"/>
                <w:szCs w:val="18"/>
              </w:rPr>
              <w:t>public?</w:t>
            </w:r>
          </w:p>
        </w:tc>
        <w:tc>
          <w:tcPr>
            <w:tcW w:w="53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tcMar>
              <w:top w:w="0" w:type="nil"/>
              <w:left w:w="0" w:type="nil"/>
              <w:bottom w:w="0" w:type="nil"/>
              <w:right w:w="0" w:type="nil"/>
            </w:tcMar>
            <w:vAlign w:val="top"/>
          </w:tcPr>
          <w:p w14:paraId="73ED9C9E" w14:textId="207C4E04" w:rsidR="00CC4833" w:rsidRDefault="00EA7C2B" w:rsidP="00CC483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Kelly Smith: </w:t>
            </w:r>
            <w:r w:rsidR="00CC4833" w:rsidRPr="00CC4833">
              <w:rPr>
                <w:rFonts w:ascii="Times New Roman" w:hAnsi="Times New Roman" w:cs="Times New Roman"/>
                <w:sz w:val="18"/>
                <w:szCs w:val="18"/>
              </w:rPr>
              <w:t xml:space="preserve">Yes, you can go to the NJDOT Pavement Design and Technology website </w:t>
            </w:r>
            <w:r w:rsidR="006C04A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hyperlink r:id="rId7" w:history="1">
              <w:r w:rsidR="006C04A4" w:rsidRPr="001F4FDA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https://www.state.nj.us/transportation/eng/pavement/technologies.shtm</w:t>
              </w:r>
            </w:hyperlink>
            <w:r w:rsidR="006C04A4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CC4833" w:rsidRPr="00CC4833">
              <w:rPr>
                <w:rFonts w:ascii="Times New Roman" w:hAnsi="Times New Roman" w:cs="Times New Roman"/>
                <w:sz w:val="18"/>
                <w:szCs w:val="18"/>
              </w:rPr>
              <w:t>and find the xml download under the Darwin ME heading</w:t>
            </w:r>
            <w:r w:rsidR="00CC48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578FB" w:rsidRPr="001116D6" w14:paraId="77D33306" w14:textId="77777777" w:rsidTr="00E718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dxa"/>
            <w:vMerge/>
            <w:shd w:val="clear" w:color="auto" w:fill="auto"/>
            <w:tcMar>
              <w:top w:w="0" w:type="nil"/>
              <w:left w:w="0" w:type="nil"/>
              <w:bottom w:w="0" w:type="nil"/>
              <w:right w:w="0" w:type="nil"/>
            </w:tcMar>
            <w:vAlign w:val="top"/>
          </w:tcPr>
          <w:p w14:paraId="1DB2DBE2" w14:textId="77777777" w:rsidR="004578FB" w:rsidRPr="00EC7465" w:rsidRDefault="004578FB" w:rsidP="00C430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nil"/>
              <w:left w:w="0" w:type="nil"/>
              <w:bottom w:w="0" w:type="nil"/>
              <w:right w:w="0" w:type="nil"/>
            </w:tcMar>
            <w:vAlign w:val="top"/>
          </w:tcPr>
          <w:p w14:paraId="71AA3C13" w14:textId="602978EE" w:rsidR="004578FB" w:rsidRPr="00867E0C" w:rsidRDefault="00CC4833" w:rsidP="00CC483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4833">
              <w:rPr>
                <w:rFonts w:ascii="Times New Roman" w:hAnsi="Times New Roman" w:cs="Times New Roman"/>
                <w:sz w:val="18"/>
                <w:szCs w:val="18"/>
              </w:rPr>
              <w:t>Has the Kentucky DOT tracked cost savings due to decreased thickness and has it tracked cracking and repair costs between the conservative older method and newer method?</w:t>
            </w:r>
          </w:p>
        </w:tc>
        <w:tc>
          <w:tcPr>
            <w:tcW w:w="53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tcMar>
              <w:top w:w="0" w:type="nil"/>
              <w:left w:w="0" w:type="nil"/>
              <w:bottom w:w="0" w:type="nil"/>
              <w:right w:w="0" w:type="nil"/>
            </w:tcMar>
            <w:vAlign w:val="top"/>
          </w:tcPr>
          <w:p w14:paraId="2ACF8FFA" w14:textId="619A662E" w:rsidR="004578FB" w:rsidRDefault="00EA7C2B" w:rsidP="00285E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Clark Graves: </w:t>
            </w:r>
            <w:r w:rsidR="00285E2D">
              <w:rPr>
                <w:rFonts w:ascii="Times New Roman" w:hAnsi="Times New Roman" w:cs="Times New Roman"/>
                <w:sz w:val="18"/>
                <w:szCs w:val="18"/>
              </w:rPr>
              <w:t>The Department has tracked some cost differences on selected projects but ha</w:t>
            </w:r>
            <w:r w:rsidR="006C04A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285E2D">
              <w:rPr>
                <w:rFonts w:ascii="Times New Roman" w:hAnsi="Times New Roman" w:cs="Times New Roman"/>
                <w:sz w:val="18"/>
                <w:szCs w:val="18"/>
              </w:rPr>
              <w:t xml:space="preserve"> not done a wholesale analysis. </w:t>
            </w:r>
            <w:r w:rsidR="003508AA">
              <w:rPr>
                <w:rFonts w:ascii="Times New Roman" w:hAnsi="Times New Roman" w:cs="Times New Roman"/>
                <w:sz w:val="18"/>
                <w:szCs w:val="18"/>
              </w:rPr>
              <w:t xml:space="preserve">As for evaluating distress,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we </w:t>
            </w:r>
            <w:r w:rsidR="003508AA">
              <w:rPr>
                <w:rFonts w:ascii="Times New Roman" w:hAnsi="Times New Roman" w:cs="Times New Roman"/>
                <w:sz w:val="18"/>
                <w:szCs w:val="18"/>
              </w:rPr>
              <w:t xml:space="preserve">haven’t seen any significant distress (e.g., fatigue cracking) in </w:t>
            </w:r>
            <w:r w:rsidR="006C04A4">
              <w:rPr>
                <w:rFonts w:ascii="Times New Roman" w:hAnsi="Times New Roman" w:cs="Times New Roman"/>
                <w:sz w:val="18"/>
                <w:szCs w:val="18"/>
              </w:rPr>
              <w:t>our</w:t>
            </w:r>
            <w:r w:rsidR="003508AA">
              <w:rPr>
                <w:rFonts w:ascii="Times New Roman" w:hAnsi="Times New Roman" w:cs="Times New Roman"/>
                <w:sz w:val="18"/>
                <w:szCs w:val="18"/>
              </w:rPr>
              <w:t xml:space="preserve"> older pavements and no distress in </w:t>
            </w:r>
            <w:r w:rsidR="006C04A4">
              <w:rPr>
                <w:rFonts w:ascii="Times New Roman" w:hAnsi="Times New Roman" w:cs="Times New Roman"/>
                <w:sz w:val="18"/>
                <w:szCs w:val="18"/>
              </w:rPr>
              <w:t>our</w:t>
            </w:r>
            <w:r w:rsidR="003508AA">
              <w:rPr>
                <w:rFonts w:ascii="Times New Roman" w:hAnsi="Times New Roman" w:cs="Times New Roman"/>
                <w:sz w:val="18"/>
                <w:szCs w:val="18"/>
              </w:rPr>
              <w:t xml:space="preserve"> newer ones. The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Department has</w:t>
            </w:r>
            <w:r w:rsidR="003508AA">
              <w:rPr>
                <w:rFonts w:ascii="Times New Roman" w:hAnsi="Times New Roman" w:cs="Times New Roman"/>
                <w:sz w:val="18"/>
                <w:szCs w:val="18"/>
              </w:rPr>
              <w:t xml:space="preserve"> a robust pavement management system that could be used to track distresses under the older and newer designs, but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 analyses </w:t>
            </w:r>
            <w:r w:rsidR="003508AA">
              <w:rPr>
                <w:rFonts w:ascii="Times New Roman" w:hAnsi="Times New Roman" w:cs="Times New Roman"/>
                <w:sz w:val="18"/>
                <w:szCs w:val="18"/>
              </w:rPr>
              <w:t xml:space="preserve">have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been </w:t>
            </w:r>
            <w:r w:rsidR="003508AA">
              <w:rPr>
                <w:rFonts w:ascii="Times New Roman" w:hAnsi="Times New Roman" w:cs="Times New Roman"/>
                <w:sz w:val="18"/>
                <w:szCs w:val="18"/>
              </w:rPr>
              <w:t>started yet.</w:t>
            </w:r>
          </w:p>
        </w:tc>
      </w:tr>
      <w:tr w:rsidR="004578FB" w:rsidRPr="001116D6" w14:paraId="5E90B01A" w14:textId="77777777" w:rsidTr="00E718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dxa"/>
            <w:vMerge w:val="restart"/>
            <w:tcBorders>
              <w:top w:val="single" w:sz="6" w:space="0" w:color="000000"/>
            </w:tcBorders>
            <w:shd w:val="clear" w:color="auto" w:fill="auto"/>
            <w:tcMar>
              <w:top w:w="0" w:type="nil"/>
              <w:left w:w="0" w:type="nil"/>
              <w:bottom w:w="0" w:type="nil"/>
              <w:right w:w="0" w:type="nil"/>
            </w:tcMar>
            <w:vAlign w:val="top"/>
            <w:hideMark/>
          </w:tcPr>
          <w:p w14:paraId="09FF32E1" w14:textId="2F9DCD7C" w:rsidR="004578FB" w:rsidRPr="00EC7465" w:rsidRDefault="004578FB" w:rsidP="00C43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 4</w:t>
            </w:r>
            <w:r w:rsidRPr="00EC7465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Panelist Discussion</w:t>
            </w:r>
          </w:p>
        </w:tc>
        <w:tc>
          <w:tcPr>
            <w:tcW w:w="302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nil"/>
              <w:left w:w="0" w:type="nil"/>
              <w:bottom w:w="0" w:type="nil"/>
              <w:right w:w="0" w:type="nil"/>
            </w:tcMar>
            <w:vAlign w:val="top"/>
          </w:tcPr>
          <w:p w14:paraId="1E4F86CB" w14:textId="78955896" w:rsidR="004578FB" w:rsidRPr="000E61DD" w:rsidRDefault="004578FB" w:rsidP="00C4301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78FB">
              <w:rPr>
                <w:rFonts w:ascii="Times New Roman" w:hAnsi="Times New Roman" w:cs="Times New Roman"/>
                <w:sz w:val="18"/>
                <w:szCs w:val="18"/>
              </w:rPr>
              <w:t>How have the thermal cracking models worked for some of the more northern states?</w:t>
            </w:r>
          </w:p>
        </w:tc>
        <w:tc>
          <w:tcPr>
            <w:tcW w:w="53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tcMar>
              <w:top w:w="0" w:type="nil"/>
              <w:left w:w="0" w:type="nil"/>
              <w:bottom w:w="0" w:type="nil"/>
              <w:right w:w="0" w:type="nil"/>
            </w:tcMar>
            <w:vAlign w:val="top"/>
          </w:tcPr>
          <w:p w14:paraId="6BF2D98C" w14:textId="5FAAF469" w:rsidR="004578FB" w:rsidRPr="009C2F91" w:rsidRDefault="00EA7C2B" w:rsidP="00285E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Justin Schenkel: Michigan DOT has had a lot of difficulties with the thermal cracking</w:t>
            </w:r>
            <w:r w:rsidR="008D688E">
              <w:rPr>
                <w:rFonts w:ascii="Times New Roman" w:hAnsi="Times New Roman" w:cs="Times New Roman"/>
                <w:sz w:val="18"/>
                <w:szCs w:val="18"/>
              </w:rPr>
              <w:t xml:space="preserve"> model</w:t>
            </w:r>
            <w:r w:rsidR="0069577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8D688E">
              <w:rPr>
                <w:rFonts w:ascii="Times New Roman" w:hAnsi="Times New Roman" w:cs="Times New Roman"/>
                <w:sz w:val="18"/>
                <w:szCs w:val="18"/>
              </w:rPr>
              <w:t xml:space="preserve">The model currently uses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mean annual air temperature (MAAT)</w:t>
            </w:r>
            <w:r w:rsidR="0069577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8D688E">
              <w:rPr>
                <w:rFonts w:ascii="Times New Roman" w:hAnsi="Times New Roman" w:cs="Times New Roman"/>
                <w:sz w:val="18"/>
                <w:szCs w:val="18"/>
              </w:rPr>
              <w:t xml:space="preserve">and </w:t>
            </w:r>
            <w:r w:rsidR="00695779">
              <w:rPr>
                <w:rFonts w:ascii="Times New Roman" w:hAnsi="Times New Roman" w:cs="Times New Roman"/>
                <w:sz w:val="18"/>
                <w:szCs w:val="18"/>
              </w:rPr>
              <w:t>we</w:t>
            </w:r>
            <w:r w:rsidR="006C04A4">
              <w:rPr>
                <w:rFonts w:ascii="Times New Roman" w:hAnsi="Times New Roman" w:cs="Times New Roman"/>
                <w:sz w:val="18"/>
                <w:szCs w:val="18"/>
              </w:rPr>
              <w:t xml:space="preserve"> saw</w:t>
            </w:r>
            <w:r w:rsidR="006957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D688E">
              <w:rPr>
                <w:rFonts w:ascii="Times New Roman" w:hAnsi="Times New Roman" w:cs="Times New Roman"/>
                <w:sz w:val="18"/>
                <w:szCs w:val="18"/>
              </w:rPr>
              <w:t xml:space="preserve">lower predicted </w:t>
            </w:r>
            <w:r w:rsidR="00695779">
              <w:rPr>
                <w:rFonts w:ascii="Times New Roman" w:hAnsi="Times New Roman" w:cs="Times New Roman"/>
                <w:sz w:val="18"/>
                <w:szCs w:val="18"/>
              </w:rPr>
              <w:t xml:space="preserve">thermal cracking at a site in the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upper peninsula (Iron Mountain) </w:t>
            </w:r>
            <w:r w:rsidR="00695779">
              <w:rPr>
                <w:rFonts w:ascii="Times New Roman" w:hAnsi="Times New Roman" w:cs="Times New Roman"/>
                <w:sz w:val="18"/>
                <w:szCs w:val="18"/>
              </w:rPr>
              <w:t xml:space="preserve">than one in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 lower peninsula (Detroit)</w:t>
            </w:r>
            <w:r w:rsidR="00695779">
              <w:rPr>
                <w:rFonts w:ascii="Times New Roman" w:hAnsi="Times New Roman" w:cs="Times New Roman"/>
                <w:sz w:val="18"/>
                <w:szCs w:val="18"/>
              </w:rPr>
              <w:t xml:space="preserve">, which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seemed backward. We voiced th</w:t>
            </w:r>
            <w:r w:rsidR="0069577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5779">
              <w:rPr>
                <w:rFonts w:ascii="Times New Roman" w:hAnsi="Times New Roman" w:cs="Times New Roman"/>
                <w:sz w:val="18"/>
                <w:szCs w:val="18"/>
              </w:rPr>
              <w:t xml:space="preserve">issue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 the software developer and are waiting to hear back</w:t>
            </w:r>
            <w:r w:rsidR="00695779">
              <w:rPr>
                <w:rFonts w:ascii="Times New Roman" w:hAnsi="Times New Roman" w:cs="Times New Roman"/>
                <w:sz w:val="18"/>
                <w:szCs w:val="18"/>
              </w:rPr>
              <w:t>. For the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time being</w:t>
            </w:r>
            <w:r w:rsidR="0069577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we are using a single value.</w:t>
            </w:r>
            <w:r w:rsidR="00695779">
              <w:rPr>
                <w:rFonts w:ascii="Times New Roman" w:hAnsi="Times New Roman" w:cs="Times New Roman"/>
                <w:sz w:val="18"/>
                <w:szCs w:val="18"/>
              </w:rPr>
              <w:t xml:space="preserve"> Also, we’ve noticed that the thermal cracking in PMED maxes out at 2,100 ft/mi, whereas we </w:t>
            </w:r>
            <w:r w:rsidR="006C04A4">
              <w:rPr>
                <w:rFonts w:ascii="Times New Roman" w:hAnsi="Times New Roman" w:cs="Times New Roman"/>
                <w:sz w:val="18"/>
                <w:szCs w:val="18"/>
              </w:rPr>
              <w:t xml:space="preserve">occasionally observe </w:t>
            </w:r>
            <w:r w:rsidR="00695779">
              <w:rPr>
                <w:rFonts w:ascii="Times New Roman" w:hAnsi="Times New Roman" w:cs="Times New Roman"/>
                <w:sz w:val="18"/>
                <w:szCs w:val="18"/>
              </w:rPr>
              <w:t>upwards of 8,000 ft/mi</w:t>
            </w:r>
            <w:r w:rsidR="006C04A4">
              <w:rPr>
                <w:rFonts w:ascii="Times New Roman" w:hAnsi="Times New Roman" w:cs="Times New Roman"/>
                <w:sz w:val="18"/>
                <w:szCs w:val="18"/>
              </w:rPr>
              <w:t xml:space="preserve"> of thermal cracking</w:t>
            </w:r>
            <w:r w:rsidR="0069577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578FB" w:rsidRPr="001116D6" w14:paraId="33AE58C5" w14:textId="77777777" w:rsidTr="00E718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dxa"/>
            <w:vMerge/>
            <w:shd w:val="clear" w:color="auto" w:fill="auto"/>
            <w:tcMar>
              <w:top w:w="43" w:type="dxa"/>
              <w:left w:w="29" w:type="dxa"/>
              <w:bottom w:w="43" w:type="dxa"/>
              <w:right w:w="29" w:type="dxa"/>
            </w:tcMar>
            <w:vAlign w:val="top"/>
          </w:tcPr>
          <w:p w14:paraId="66B5329A" w14:textId="77777777" w:rsidR="004578FB" w:rsidRPr="001116D6" w:rsidRDefault="004578FB" w:rsidP="00C4301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nil"/>
              <w:left w:w="0" w:type="nil"/>
              <w:bottom w:w="0" w:type="nil"/>
              <w:right w:w="0" w:type="nil"/>
            </w:tcMar>
            <w:vAlign w:val="top"/>
          </w:tcPr>
          <w:p w14:paraId="50633741" w14:textId="468F4F21" w:rsidR="004578FB" w:rsidRPr="00867E0C" w:rsidRDefault="00CC4833" w:rsidP="00C4301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4833">
              <w:rPr>
                <w:rFonts w:ascii="Times New Roman" w:hAnsi="Times New Roman" w:cs="Times New Roman"/>
                <w:sz w:val="18"/>
                <w:szCs w:val="18"/>
              </w:rPr>
              <w:t xml:space="preserve">I would suggest a </w:t>
            </w:r>
            <w:r w:rsidR="008D688E" w:rsidRPr="00CC4833">
              <w:rPr>
                <w:rFonts w:ascii="Times New Roman" w:hAnsi="Times New Roman" w:cs="Times New Roman"/>
                <w:sz w:val="18"/>
                <w:szCs w:val="18"/>
              </w:rPr>
              <w:t>step</w:t>
            </w:r>
            <w:r w:rsidR="008D68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D688E" w:rsidRPr="00CC4833">
              <w:rPr>
                <w:rFonts w:ascii="Times New Roman" w:hAnsi="Times New Roman" w:cs="Times New Roman"/>
                <w:sz w:val="18"/>
                <w:szCs w:val="18"/>
              </w:rPr>
              <w:t>by</w:t>
            </w:r>
            <w:r w:rsidR="008D68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C4833">
              <w:rPr>
                <w:rFonts w:ascii="Times New Roman" w:hAnsi="Times New Roman" w:cs="Times New Roman"/>
                <w:sz w:val="18"/>
                <w:szCs w:val="18"/>
              </w:rPr>
              <w:t>step design pamphlet for reconstruction (flexible and rigid) and overlay</w:t>
            </w:r>
            <w:r w:rsidR="008D688E">
              <w:rPr>
                <w:rFonts w:ascii="Times New Roman" w:hAnsi="Times New Roman" w:cs="Times New Roman"/>
                <w:sz w:val="18"/>
                <w:szCs w:val="18"/>
              </w:rPr>
              <w:t xml:space="preserve"> design</w:t>
            </w:r>
            <w:r w:rsidRPr="00CC483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nil"/>
              <w:left w:w="0" w:type="nil"/>
              <w:bottom w:w="0" w:type="nil"/>
              <w:right w:w="0" w:type="nil"/>
            </w:tcMar>
            <w:vAlign w:val="top"/>
          </w:tcPr>
          <w:p w14:paraId="094B9561" w14:textId="05986773" w:rsidR="004578FB" w:rsidRPr="00867E0C" w:rsidRDefault="00302D2F" w:rsidP="00285E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2D2F">
              <w:rPr>
                <w:rFonts w:ascii="Times New Roman" w:hAnsi="Times New Roman" w:cs="Times New Roman"/>
                <w:sz w:val="18"/>
                <w:szCs w:val="18"/>
              </w:rPr>
              <w:t>A pamphlet can be a useful tool for the user but since it will have limited detail, agencies still need to consider more detailed documentation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578FB" w:rsidRPr="001116D6" w14:paraId="4A0A207E" w14:textId="77777777" w:rsidTr="00E718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dxa"/>
            <w:vMerge/>
            <w:shd w:val="clear" w:color="auto" w:fill="auto"/>
            <w:tcMar>
              <w:top w:w="43" w:type="dxa"/>
              <w:left w:w="29" w:type="dxa"/>
              <w:bottom w:w="43" w:type="dxa"/>
              <w:right w:w="29" w:type="dxa"/>
            </w:tcMar>
            <w:vAlign w:val="top"/>
          </w:tcPr>
          <w:p w14:paraId="19F3817E" w14:textId="77777777" w:rsidR="004578FB" w:rsidRPr="001116D6" w:rsidRDefault="004578FB" w:rsidP="00C4301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nil"/>
              <w:left w:w="0" w:type="nil"/>
              <w:bottom w:w="0" w:type="nil"/>
              <w:right w:w="0" w:type="nil"/>
            </w:tcMar>
            <w:vAlign w:val="top"/>
          </w:tcPr>
          <w:p w14:paraId="2DBB81C3" w14:textId="3FE5873D" w:rsidR="004578FB" w:rsidRPr="000E61DD" w:rsidRDefault="00CC4833" w:rsidP="00C4301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4833">
              <w:rPr>
                <w:rFonts w:ascii="Times New Roman" w:hAnsi="Times New Roman" w:cs="Times New Roman"/>
                <w:sz w:val="18"/>
                <w:szCs w:val="18"/>
              </w:rPr>
              <w:t>Verifying local calibration to practical pavement designs is also a key activ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CC4833">
              <w:rPr>
                <w:rFonts w:ascii="Times New Roman" w:hAnsi="Times New Roman" w:cs="Times New Roman"/>
                <w:sz w:val="18"/>
                <w:szCs w:val="18"/>
              </w:rPr>
              <w:t>ty after calibration.</w:t>
            </w:r>
          </w:p>
        </w:tc>
        <w:tc>
          <w:tcPr>
            <w:tcW w:w="53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tcMar>
              <w:top w:w="0" w:type="nil"/>
              <w:left w:w="0" w:type="nil"/>
              <w:bottom w:w="0" w:type="nil"/>
              <w:right w:w="0" w:type="nil"/>
            </w:tcMar>
            <w:vAlign w:val="top"/>
          </w:tcPr>
          <w:p w14:paraId="16D8793C" w14:textId="116F6D9D" w:rsidR="004578FB" w:rsidRDefault="002502F3" w:rsidP="00285E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Kumar Dave: Indiana DOT has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made an effort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calibrate (e.g., </w:t>
            </w:r>
            <w:r w:rsidR="00A75185">
              <w:rPr>
                <w:rFonts w:ascii="Times New Roman" w:hAnsi="Times New Roman" w:cs="Times New Roman"/>
                <w:sz w:val="18"/>
                <w:szCs w:val="18"/>
              </w:rPr>
              <w:t xml:space="preserve">DOT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accelerated pavement testing [APT] facilities</w:t>
            </w:r>
            <w:r w:rsidR="006C04A4">
              <w:rPr>
                <w:rFonts w:ascii="Times New Roman" w:hAnsi="Times New Roman" w:cs="Times New Roman"/>
                <w:sz w:val="18"/>
                <w:szCs w:val="18"/>
              </w:rPr>
              <w:t xml:space="preserve"> for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rutting calibration) and compare those data with our pavement management data for verification.</w:t>
            </w:r>
          </w:p>
          <w:p w14:paraId="366D305B" w14:textId="77777777" w:rsidR="002502F3" w:rsidRDefault="002502F3" w:rsidP="00285E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7D36FA" w14:textId="7ACCEC6C" w:rsidR="002502F3" w:rsidRDefault="002502F3" w:rsidP="00285E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Nusrat Morshed: New Jersey DOT (through its contractor) recently completed a local calibration. The study used various pavement management sections for calibration and verification, using the statistical parameters of bias, standard error, and root-mean square error.</w:t>
            </w:r>
          </w:p>
          <w:p w14:paraId="033B5DEA" w14:textId="77777777" w:rsidR="004A20E4" w:rsidRDefault="004A20E4" w:rsidP="00285E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15E1E2" w14:textId="4B44B352" w:rsidR="004A20E4" w:rsidRDefault="004A20E4" w:rsidP="00285E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Hari Nair: Verifying the calibration to practical designs is a very important </w:t>
            </w:r>
            <w:r w:rsidR="006C04A4">
              <w:rPr>
                <w:rFonts w:ascii="Times New Roman" w:hAnsi="Times New Roman" w:cs="Times New Roman"/>
                <w:sz w:val="18"/>
                <w:szCs w:val="18"/>
              </w:rPr>
              <w:t>step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Virginia DOT has been through this </w:t>
            </w:r>
            <w:r w:rsidR="006C04A4">
              <w:rPr>
                <w:rFonts w:ascii="Times New Roman" w:hAnsi="Times New Roman" w:cs="Times New Roman"/>
                <w:sz w:val="18"/>
                <w:szCs w:val="18"/>
              </w:rPr>
              <w:t xml:space="preserve">process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 identified several issues that required some policy decisions during th</w:t>
            </w:r>
            <w:r w:rsidR="006C04A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process.</w:t>
            </w:r>
          </w:p>
          <w:p w14:paraId="41620CF5" w14:textId="77777777" w:rsidR="004A20E4" w:rsidRDefault="004A20E4" w:rsidP="00285E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6DD828" w14:textId="5924B0D6" w:rsidR="004A20E4" w:rsidRPr="00960492" w:rsidRDefault="004A20E4" w:rsidP="00285E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Max Grogg: APTech</w:t>
            </w:r>
            <w:r w:rsidR="006C04A4">
              <w:rPr>
                <w:rFonts w:ascii="Times New Roman" w:hAnsi="Times New Roman" w:cs="Times New Roman"/>
                <w:sz w:val="18"/>
                <w:szCs w:val="18"/>
              </w:rPr>
              <w:t xml:space="preserve"> also recognizes the importance of this step. It was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nvolved in a project </w:t>
            </w:r>
            <w:r w:rsidR="006C04A4">
              <w:rPr>
                <w:rFonts w:ascii="Times New Roman" w:hAnsi="Times New Roman" w:cs="Times New Roman"/>
                <w:sz w:val="18"/>
                <w:szCs w:val="18"/>
              </w:rPr>
              <w:t xml:space="preserve">recently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where, due to thermal cracking model issues, practical designs could not be obtained.</w:t>
            </w:r>
          </w:p>
        </w:tc>
      </w:tr>
      <w:tr w:rsidR="004578FB" w:rsidRPr="001116D6" w14:paraId="44DC189E" w14:textId="77777777" w:rsidTr="00E718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dxa"/>
            <w:vMerge/>
            <w:shd w:val="clear" w:color="auto" w:fill="auto"/>
            <w:tcMar>
              <w:top w:w="43" w:type="dxa"/>
              <w:left w:w="29" w:type="dxa"/>
              <w:bottom w:w="43" w:type="dxa"/>
              <w:right w:w="29" w:type="dxa"/>
            </w:tcMar>
            <w:vAlign w:val="top"/>
          </w:tcPr>
          <w:p w14:paraId="49E64EC4" w14:textId="77777777" w:rsidR="004578FB" w:rsidRPr="001116D6" w:rsidRDefault="004578FB" w:rsidP="00C4301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nil"/>
              <w:left w:w="0" w:type="nil"/>
              <w:bottom w:w="0" w:type="nil"/>
              <w:right w:w="0" w:type="nil"/>
            </w:tcMar>
            <w:vAlign w:val="top"/>
          </w:tcPr>
          <w:p w14:paraId="23688A2D" w14:textId="14D378C9" w:rsidR="004578FB" w:rsidRPr="000608BB" w:rsidRDefault="00CC4833" w:rsidP="00C4301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4833">
              <w:rPr>
                <w:rFonts w:ascii="Times New Roman" w:hAnsi="Times New Roman" w:cs="Times New Roman"/>
                <w:sz w:val="18"/>
                <w:szCs w:val="18"/>
              </w:rPr>
              <w:t>Also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C4833">
              <w:rPr>
                <w:rFonts w:ascii="Times New Roman" w:hAnsi="Times New Roman" w:cs="Times New Roman"/>
                <w:sz w:val="18"/>
                <w:szCs w:val="18"/>
              </w:rPr>
              <w:t xml:space="preserve"> calibration of </w:t>
            </w:r>
            <w:r w:rsidR="00A75185">
              <w:rPr>
                <w:rFonts w:ascii="Times New Roman" w:hAnsi="Times New Roman" w:cs="Times New Roman"/>
                <w:sz w:val="18"/>
                <w:szCs w:val="18"/>
              </w:rPr>
              <w:t xml:space="preserve">the </w:t>
            </w:r>
            <w:r w:rsidRPr="00CC4833">
              <w:rPr>
                <w:rFonts w:ascii="Times New Roman" w:hAnsi="Times New Roman" w:cs="Times New Roman"/>
                <w:sz w:val="18"/>
                <w:szCs w:val="18"/>
              </w:rPr>
              <w:t>new top-down cracking model is challeng</w:t>
            </w:r>
            <w:r w:rsidR="00A75185">
              <w:rPr>
                <w:rFonts w:ascii="Times New Roman" w:hAnsi="Times New Roman" w:cs="Times New Roman"/>
                <w:sz w:val="18"/>
                <w:szCs w:val="18"/>
              </w:rPr>
              <w:t>ing</w:t>
            </w:r>
            <w:r w:rsidRPr="00CC483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tcMar>
              <w:top w:w="0" w:type="nil"/>
              <w:left w:w="0" w:type="nil"/>
              <w:bottom w:w="0" w:type="nil"/>
              <w:right w:w="0" w:type="nil"/>
            </w:tcMar>
            <w:vAlign w:val="top"/>
          </w:tcPr>
          <w:p w14:paraId="7C899312" w14:textId="23ECF89C" w:rsidR="004578FB" w:rsidRPr="00960492" w:rsidRDefault="00302D2F" w:rsidP="00285E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2D2F">
              <w:rPr>
                <w:rFonts w:ascii="Times New Roman" w:hAnsi="Times New Roman" w:cs="Times New Roman"/>
                <w:sz w:val="18"/>
                <w:szCs w:val="18"/>
              </w:rPr>
              <w:t>Participants noted that separating top-down from bottom-up cracking is the most challenging part of this calibration process. This led to the following question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578FB" w:rsidRPr="001116D6" w14:paraId="75832610" w14:textId="77777777" w:rsidTr="00E718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dxa"/>
            <w:vMerge/>
            <w:shd w:val="clear" w:color="auto" w:fill="auto"/>
            <w:tcMar>
              <w:top w:w="43" w:type="dxa"/>
              <w:left w:w="29" w:type="dxa"/>
              <w:bottom w:w="43" w:type="dxa"/>
              <w:right w:w="29" w:type="dxa"/>
            </w:tcMar>
            <w:vAlign w:val="top"/>
          </w:tcPr>
          <w:p w14:paraId="5BE3A364" w14:textId="77777777" w:rsidR="004578FB" w:rsidRPr="001116D6" w:rsidRDefault="004578FB" w:rsidP="00717C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nil"/>
              <w:left w:w="0" w:type="nil"/>
              <w:bottom w:w="0" w:type="nil"/>
              <w:right w:w="0" w:type="nil"/>
            </w:tcMar>
            <w:vAlign w:val="top"/>
          </w:tcPr>
          <w:p w14:paraId="47001F60" w14:textId="1F729482" w:rsidR="004578FB" w:rsidRPr="000608BB" w:rsidRDefault="00CC4833" w:rsidP="00717CF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4833">
              <w:rPr>
                <w:rFonts w:ascii="Times New Roman" w:hAnsi="Times New Roman" w:cs="Times New Roman"/>
                <w:sz w:val="18"/>
                <w:szCs w:val="18"/>
              </w:rPr>
              <w:t>How are agencies differentiating top-down from bottom-up cracking in the distress databases for the local calibration?</w:t>
            </w:r>
          </w:p>
        </w:tc>
        <w:tc>
          <w:tcPr>
            <w:tcW w:w="53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tcMar>
              <w:top w:w="0" w:type="nil"/>
              <w:left w:w="0" w:type="nil"/>
              <w:bottom w:w="0" w:type="nil"/>
              <w:right w:w="0" w:type="nil"/>
            </w:tcMar>
            <w:vAlign w:val="top"/>
          </w:tcPr>
          <w:p w14:paraId="14B7CF1A" w14:textId="77777777" w:rsidR="004578FB" w:rsidRDefault="00960492" w:rsidP="00285E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0492">
              <w:rPr>
                <w:rFonts w:ascii="Times New Roman" w:hAnsi="Times New Roman" w:cs="Times New Roman"/>
                <w:sz w:val="18"/>
                <w:szCs w:val="18"/>
              </w:rPr>
              <w:t xml:space="preserve">Hari Nair: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This is an issue in Virginia. For calibration, we assumed that high-severity cracking is top-down and that medium- and low-severity cracking is bottom-up. However, this was not verified in the field.</w:t>
            </w:r>
          </w:p>
          <w:p w14:paraId="4E8D3E2F" w14:textId="77777777" w:rsidR="00960492" w:rsidRDefault="00960492" w:rsidP="00285E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5B6EFD" w14:textId="248EE434" w:rsidR="00960492" w:rsidRDefault="00960492" w:rsidP="00285E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Justin Schenkel: Verification is important, and Michigan DOT has not been able to do that. We </w:t>
            </w:r>
            <w:r w:rsidR="00EC4E5A">
              <w:rPr>
                <w:rFonts w:ascii="Times New Roman" w:hAnsi="Times New Roman" w:cs="Times New Roman"/>
                <w:sz w:val="18"/>
                <w:szCs w:val="18"/>
              </w:rPr>
              <w:t>originally went with the assumption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that everything in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wheelpath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75185">
              <w:rPr>
                <w:rFonts w:ascii="Times New Roman" w:hAnsi="Times New Roman" w:cs="Times New Roman"/>
                <w:sz w:val="18"/>
                <w:szCs w:val="18"/>
              </w:rPr>
              <w:t xml:space="preserve">was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bottom-up and everything outside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wheelpath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75185">
              <w:rPr>
                <w:rFonts w:ascii="Times New Roman" w:hAnsi="Times New Roman" w:cs="Times New Roman"/>
                <w:sz w:val="18"/>
                <w:szCs w:val="18"/>
              </w:rPr>
              <w:t xml:space="preserve">was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top-down.</w:t>
            </w:r>
            <w:r w:rsidR="00EC4E5A">
              <w:rPr>
                <w:rFonts w:ascii="Times New Roman" w:hAnsi="Times New Roman" w:cs="Times New Roman"/>
                <w:sz w:val="18"/>
                <w:szCs w:val="18"/>
              </w:rPr>
              <w:t xml:space="preserve"> This was not a great assumption</w:t>
            </w:r>
            <w:r w:rsidR="006C04A4">
              <w:rPr>
                <w:rFonts w:ascii="Times New Roman" w:hAnsi="Times New Roman" w:cs="Times New Roman"/>
                <w:sz w:val="18"/>
                <w:szCs w:val="18"/>
              </w:rPr>
              <w:t xml:space="preserve"> and</w:t>
            </w:r>
            <w:r w:rsidR="00EC4E5A">
              <w:rPr>
                <w:rFonts w:ascii="Times New Roman" w:hAnsi="Times New Roman" w:cs="Times New Roman"/>
                <w:sz w:val="18"/>
                <w:szCs w:val="18"/>
              </w:rPr>
              <w:t xml:space="preserve"> led to difficulties </w:t>
            </w:r>
            <w:r w:rsidR="006C04A4">
              <w:rPr>
                <w:rFonts w:ascii="Times New Roman" w:hAnsi="Times New Roman" w:cs="Times New Roman"/>
                <w:sz w:val="18"/>
                <w:szCs w:val="18"/>
              </w:rPr>
              <w:t xml:space="preserve">in calibrating </w:t>
            </w:r>
            <w:r w:rsidR="00EC4E5A">
              <w:rPr>
                <w:rFonts w:ascii="Times New Roman" w:hAnsi="Times New Roman" w:cs="Times New Roman"/>
                <w:sz w:val="18"/>
                <w:szCs w:val="18"/>
              </w:rPr>
              <w:t>the model. Currently, we are combining all the cracking and calling it bottom-up cracking.</w:t>
            </w:r>
          </w:p>
          <w:p w14:paraId="430486FE" w14:textId="77777777" w:rsidR="00EC4E5A" w:rsidRDefault="00EC4E5A" w:rsidP="00285E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C07CDD" w14:textId="160413EF" w:rsidR="00EC4E5A" w:rsidRPr="00960492" w:rsidRDefault="00EC4E5A" w:rsidP="00285E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John Donahue: During the global calibration process, there was a cumulative energy variable to separate </w:t>
            </w:r>
            <w:r w:rsidR="00A75185">
              <w:rPr>
                <w:rFonts w:ascii="Times New Roman" w:hAnsi="Times New Roman" w:cs="Times New Roman"/>
                <w:sz w:val="18"/>
                <w:szCs w:val="18"/>
              </w:rPr>
              <w:t>bottom-up and top-down cracking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The separation, in effect, had to do with the amount of traffic. If there was cracking occurring sooner for areas where there was more traffic, it was tied to top-down cracking</w:t>
            </w:r>
            <w:r w:rsidR="006C04A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because there wouldn’t have been the required number of load repetitions to induce bottom-up cracking.</w:t>
            </w:r>
          </w:p>
        </w:tc>
      </w:tr>
      <w:tr w:rsidR="004578FB" w:rsidRPr="001116D6" w14:paraId="5C4604EE" w14:textId="77777777" w:rsidTr="00E718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43" w:type="dxa"/>
              <w:left w:w="29" w:type="dxa"/>
              <w:bottom w:w="43" w:type="dxa"/>
              <w:right w:w="29" w:type="dxa"/>
            </w:tcMar>
            <w:vAlign w:val="top"/>
            <w:hideMark/>
          </w:tcPr>
          <w:p w14:paraId="6FC0CEC0" w14:textId="77777777" w:rsidR="004578FB" w:rsidRPr="001116D6" w:rsidRDefault="004578FB" w:rsidP="000E61DD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3023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0" w:type="nil"/>
              <w:left w:w="0" w:type="nil"/>
              <w:bottom w:w="0" w:type="nil"/>
              <w:right w:w="0" w:type="nil"/>
            </w:tcMar>
            <w:vAlign w:val="top"/>
          </w:tcPr>
          <w:p w14:paraId="52C89EE0" w14:textId="283EE41B" w:rsidR="004578FB" w:rsidRPr="000E61DD" w:rsidRDefault="00CC4833" w:rsidP="000E61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4833">
              <w:rPr>
                <w:rFonts w:ascii="Times New Roman" w:hAnsi="Times New Roman" w:cs="Times New Roman"/>
                <w:sz w:val="18"/>
                <w:szCs w:val="18"/>
              </w:rPr>
              <w:t xml:space="preserve">How are you collecting structural strengths of the pavements from </w:t>
            </w:r>
            <w:r w:rsidR="00A75185">
              <w:rPr>
                <w:rFonts w:ascii="Times New Roman" w:hAnsi="Times New Roman" w:cs="Times New Roman"/>
                <w:sz w:val="18"/>
                <w:szCs w:val="18"/>
              </w:rPr>
              <w:t>pavement management</w:t>
            </w:r>
            <w:r w:rsidR="00A75185" w:rsidRPr="00CC48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4833">
              <w:rPr>
                <w:rFonts w:ascii="Times New Roman" w:hAnsi="Times New Roman" w:cs="Times New Roman"/>
                <w:sz w:val="18"/>
                <w:szCs w:val="18"/>
              </w:rPr>
              <w:t>data?</w:t>
            </w:r>
          </w:p>
        </w:tc>
        <w:tc>
          <w:tcPr>
            <w:tcW w:w="5381" w:type="dxa"/>
            <w:tcBorders>
              <w:top w:val="single" w:sz="6" w:space="0" w:color="000000"/>
              <w:bottom w:val="double" w:sz="4" w:space="0" w:color="auto"/>
            </w:tcBorders>
            <w:shd w:val="clear" w:color="auto" w:fill="BFBFBF" w:themeFill="background1" w:themeFillShade="BF"/>
            <w:tcMar>
              <w:top w:w="0" w:type="nil"/>
              <w:left w:w="0" w:type="nil"/>
              <w:bottom w:w="0" w:type="nil"/>
              <w:right w:w="0" w:type="nil"/>
            </w:tcMar>
            <w:vAlign w:val="top"/>
          </w:tcPr>
          <w:p w14:paraId="66B3089E" w14:textId="357D7B1C" w:rsidR="004578FB" w:rsidRDefault="00314465" w:rsidP="00285E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Nusrat Morshed: New Jersey DOT does project-level evaluation </w:t>
            </w:r>
            <w:r w:rsidR="00A75185">
              <w:rPr>
                <w:rFonts w:ascii="Times New Roman" w:hAnsi="Times New Roman" w:cs="Times New Roman"/>
                <w:sz w:val="18"/>
                <w:szCs w:val="18"/>
              </w:rPr>
              <w:t xml:space="preserve">including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coring, GPR testing, and FWD testing. The FWD testing data are backcalculated to provide moduli for design.</w:t>
            </w:r>
          </w:p>
          <w:p w14:paraId="2B6E025E" w14:textId="77777777" w:rsidR="00314465" w:rsidRDefault="00314465" w:rsidP="00285E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93B738" w14:textId="4E3B7D89" w:rsidR="00314465" w:rsidRDefault="00314465" w:rsidP="00285E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Kumar Dave: In Indiana, we do in-house FWD testing on all design projects. </w:t>
            </w:r>
            <w:r w:rsidR="006C04A4">
              <w:rPr>
                <w:rFonts w:ascii="Times New Roman" w:hAnsi="Times New Roman" w:cs="Times New Roman"/>
                <w:sz w:val="18"/>
                <w:szCs w:val="18"/>
              </w:rPr>
              <w:t xml:space="preserve">At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 network level, there is an effort underway to do FWD testing and put all the data into a GIS-based database.</w:t>
            </w:r>
          </w:p>
          <w:p w14:paraId="7882A3D9" w14:textId="77777777" w:rsidR="00314465" w:rsidRDefault="00314465" w:rsidP="00285E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83CC6A" w14:textId="78F5E1E7" w:rsidR="00314465" w:rsidRPr="00960492" w:rsidRDefault="00314465" w:rsidP="00285E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Clark Graves: In Kentucky, we use pavement management data to select rehab</w:t>
            </w:r>
            <w:r w:rsidR="00A75185">
              <w:rPr>
                <w:rFonts w:ascii="Times New Roman" w:hAnsi="Times New Roman" w:cs="Times New Roman"/>
                <w:sz w:val="18"/>
                <w:szCs w:val="18"/>
              </w:rPr>
              <w:t>ilitation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projects, and </w:t>
            </w:r>
            <w:r w:rsidR="002E6187">
              <w:rPr>
                <w:rFonts w:ascii="Times New Roman" w:hAnsi="Times New Roman" w:cs="Times New Roman"/>
                <w:sz w:val="18"/>
                <w:szCs w:val="18"/>
              </w:rPr>
              <w:t xml:space="preserve">then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forensic</w:t>
            </w:r>
            <w:r w:rsidR="00A751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A75185">
              <w:rPr>
                <w:rFonts w:ascii="Times New Roman" w:hAnsi="Times New Roman" w:cs="Times New Roman"/>
                <w:sz w:val="18"/>
                <w:szCs w:val="18"/>
              </w:rPr>
              <w:t>tudies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on those projects</w:t>
            </w:r>
            <w:r w:rsidR="009D70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9D7080">
              <w:rPr>
                <w:rFonts w:ascii="Times New Roman" w:hAnsi="Times New Roman" w:cs="Times New Roman"/>
                <w:sz w:val="18"/>
                <w:szCs w:val="18"/>
              </w:rPr>
              <w:t>in order to</w:t>
            </w:r>
            <w:proofErr w:type="gramEnd"/>
            <w:r w:rsidR="004A07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7080">
              <w:rPr>
                <w:rFonts w:ascii="Times New Roman" w:hAnsi="Times New Roman" w:cs="Times New Roman"/>
                <w:sz w:val="18"/>
                <w:szCs w:val="18"/>
              </w:rPr>
              <w:t xml:space="preserve">do ME-based designs. There is a subset of these projects that go in the mill-and-fill strategy and </w:t>
            </w:r>
            <w:r w:rsidR="006C04A4">
              <w:rPr>
                <w:rFonts w:ascii="Times New Roman" w:hAnsi="Times New Roman" w:cs="Times New Roman"/>
                <w:sz w:val="18"/>
                <w:szCs w:val="18"/>
              </w:rPr>
              <w:t xml:space="preserve">therefore </w:t>
            </w:r>
            <w:r w:rsidR="009D7080">
              <w:rPr>
                <w:rFonts w:ascii="Times New Roman" w:hAnsi="Times New Roman" w:cs="Times New Roman"/>
                <w:sz w:val="18"/>
                <w:szCs w:val="18"/>
              </w:rPr>
              <w:t>do not need a full design.</w:t>
            </w:r>
          </w:p>
        </w:tc>
      </w:tr>
    </w:tbl>
    <w:p w14:paraId="0537F335" w14:textId="77777777" w:rsidR="001116D6" w:rsidRPr="001116D6" w:rsidRDefault="001116D6" w:rsidP="001116D6">
      <w:pPr>
        <w:rPr>
          <w:rFonts w:ascii="Times New Roman" w:hAnsi="Times New Roman" w:cs="Times New Roman"/>
        </w:rPr>
      </w:pPr>
    </w:p>
    <w:p w14:paraId="219C59DF" w14:textId="77777777" w:rsidR="00857F1E" w:rsidRPr="001116D6" w:rsidRDefault="00857F1E" w:rsidP="00633554">
      <w:pPr>
        <w:rPr>
          <w:rFonts w:ascii="Times New Roman" w:hAnsi="Times New Roman" w:cs="Times New Roman"/>
        </w:rPr>
      </w:pPr>
    </w:p>
    <w:sectPr w:rsidR="00857F1E" w:rsidRPr="001116D6" w:rsidSect="009C2F91">
      <w:foot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04D26" w14:textId="77777777" w:rsidR="008532D6" w:rsidRDefault="008532D6" w:rsidP="00325D03">
      <w:r>
        <w:separator/>
      </w:r>
    </w:p>
  </w:endnote>
  <w:endnote w:type="continuationSeparator" w:id="0">
    <w:p w14:paraId="2D34722A" w14:textId="77777777" w:rsidR="008532D6" w:rsidRDefault="008532D6" w:rsidP="0032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5740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EFB17" w14:textId="22CBABC9" w:rsidR="00325D03" w:rsidRDefault="00325D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B4CCC7" w14:textId="77777777" w:rsidR="00325D03" w:rsidRDefault="00325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8F4AF" w14:textId="77777777" w:rsidR="008532D6" w:rsidRDefault="008532D6" w:rsidP="00325D03">
      <w:r>
        <w:separator/>
      </w:r>
    </w:p>
  </w:footnote>
  <w:footnote w:type="continuationSeparator" w:id="0">
    <w:p w14:paraId="3CCEFA3F" w14:textId="77777777" w:rsidR="008532D6" w:rsidRDefault="008532D6" w:rsidP="00325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7D0FC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EF06DC"/>
    <w:multiLevelType w:val="multilevel"/>
    <w:tmpl w:val="802E0332"/>
    <w:lvl w:ilvl="0">
      <w:start w:val="1"/>
      <w:numFmt w:val="decimal"/>
      <w:pStyle w:val="APTechNumberlist"/>
      <w:lvlText w:val="%1. 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 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 "/>
      <w:lvlJc w:val="left"/>
      <w:pPr>
        <w:ind w:left="144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tabs>
          <w:tab w:val="num" w:pos="1440"/>
        </w:tabs>
        <w:ind w:left="1800" w:hanging="360"/>
      </w:pPr>
      <w:rPr>
        <w:rFonts w:ascii="Script MT Bold" w:hAnsi="Script MT Bold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600" w:hanging="360"/>
      </w:pPr>
      <w:rPr>
        <w:rFonts w:ascii="Symbol" w:hAnsi="Symbol" w:hint="default"/>
      </w:rPr>
    </w:lvl>
  </w:abstractNum>
  <w:abstractNum w:abstractNumId="2" w15:restartNumberingAfterBreak="0">
    <w:nsid w:val="321503F4"/>
    <w:multiLevelType w:val="hybridMultilevel"/>
    <w:tmpl w:val="90A80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35BB9"/>
    <w:multiLevelType w:val="hybridMultilevel"/>
    <w:tmpl w:val="44085C48"/>
    <w:lvl w:ilvl="0" w:tplc="02BE80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6500C"/>
    <w:multiLevelType w:val="multilevel"/>
    <w:tmpl w:val="4C2ED71C"/>
    <w:lvl w:ilvl="0">
      <w:start w:val="1"/>
      <w:numFmt w:val="bullet"/>
      <w:pStyle w:val="APTech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cript MT Bold" w:hAnsi="Script MT Bold" w:cs="Script MT Bold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Script MT Bold" w:hAnsi="Script MT Bold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num w:numId="1" w16cid:durableId="1934775037">
    <w:abstractNumId w:val="4"/>
  </w:num>
  <w:num w:numId="2" w16cid:durableId="1821656912">
    <w:abstractNumId w:val="4"/>
  </w:num>
  <w:num w:numId="3" w16cid:durableId="1248881764">
    <w:abstractNumId w:val="0"/>
  </w:num>
  <w:num w:numId="4" w16cid:durableId="1111584234">
    <w:abstractNumId w:val="1"/>
  </w:num>
  <w:num w:numId="5" w16cid:durableId="31728889">
    <w:abstractNumId w:val="1"/>
  </w:num>
  <w:num w:numId="6" w16cid:durableId="1244219992">
    <w:abstractNumId w:val="3"/>
  </w:num>
  <w:num w:numId="7" w16cid:durableId="51314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D6"/>
    <w:rsid w:val="00030F12"/>
    <w:rsid w:val="00035B31"/>
    <w:rsid w:val="00041DCB"/>
    <w:rsid w:val="0004448D"/>
    <w:rsid w:val="00046537"/>
    <w:rsid w:val="00052072"/>
    <w:rsid w:val="000608BB"/>
    <w:rsid w:val="000809F1"/>
    <w:rsid w:val="0008765D"/>
    <w:rsid w:val="000A466E"/>
    <w:rsid w:val="000B0E8C"/>
    <w:rsid w:val="000B5BCB"/>
    <w:rsid w:val="000D2E16"/>
    <w:rsid w:val="000E61DD"/>
    <w:rsid w:val="00104044"/>
    <w:rsid w:val="001116D6"/>
    <w:rsid w:val="00145C9B"/>
    <w:rsid w:val="0014778D"/>
    <w:rsid w:val="00154243"/>
    <w:rsid w:val="00176EBE"/>
    <w:rsid w:val="001819E9"/>
    <w:rsid w:val="0018711B"/>
    <w:rsid w:val="001873EC"/>
    <w:rsid w:val="0019129E"/>
    <w:rsid w:val="001A1A59"/>
    <w:rsid w:val="001D1DD4"/>
    <w:rsid w:val="001E43C6"/>
    <w:rsid w:val="001F4D1F"/>
    <w:rsid w:val="00205F4E"/>
    <w:rsid w:val="0021241B"/>
    <w:rsid w:val="00234C5F"/>
    <w:rsid w:val="00241AA1"/>
    <w:rsid w:val="002502F3"/>
    <w:rsid w:val="0026264C"/>
    <w:rsid w:val="0028025C"/>
    <w:rsid w:val="00285E2D"/>
    <w:rsid w:val="002C67A8"/>
    <w:rsid w:val="002C73C8"/>
    <w:rsid w:val="002D1762"/>
    <w:rsid w:val="002E6187"/>
    <w:rsid w:val="002E6A64"/>
    <w:rsid w:val="00302D2F"/>
    <w:rsid w:val="00306952"/>
    <w:rsid w:val="003127CA"/>
    <w:rsid w:val="0031373B"/>
    <w:rsid w:val="00314465"/>
    <w:rsid w:val="00315697"/>
    <w:rsid w:val="00325D03"/>
    <w:rsid w:val="003508AA"/>
    <w:rsid w:val="0038115D"/>
    <w:rsid w:val="00395194"/>
    <w:rsid w:val="003A397C"/>
    <w:rsid w:val="003B2F53"/>
    <w:rsid w:val="003E2BD6"/>
    <w:rsid w:val="003E48DD"/>
    <w:rsid w:val="003E6ED8"/>
    <w:rsid w:val="00403A93"/>
    <w:rsid w:val="00413566"/>
    <w:rsid w:val="004272D8"/>
    <w:rsid w:val="00431CCC"/>
    <w:rsid w:val="00442093"/>
    <w:rsid w:val="004578FB"/>
    <w:rsid w:val="00462101"/>
    <w:rsid w:val="00472B3D"/>
    <w:rsid w:val="004802F9"/>
    <w:rsid w:val="00484EC1"/>
    <w:rsid w:val="00497877"/>
    <w:rsid w:val="004A0749"/>
    <w:rsid w:val="004A20E4"/>
    <w:rsid w:val="004A516F"/>
    <w:rsid w:val="004B32F1"/>
    <w:rsid w:val="004E7FE5"/>
    <w:rsid w:val="004F53A7"/>
    <w:rsid w:val="00500598"/>
    <w:rsid w:val="00503ABA"/>
    <w:rsid w:val="00515786"/>
    <w:rsid w:val="00516AFC"/>
    <w:rsid w:val="00547CBB"/>
    <w:rsid w:val="00565D30"/>
    <w:rsid w:val="00580ABD"/>
    <w:rsid w:val="005916C2"/>
    <w:rsid w:val="005A1067"/>
    <w:rsid w:val="005B51A4"/>
    <w:rsid w:val="005C4C31"/>
    <w:rsid w:val="005C56C4"/>
    <w:rsid w:val="005D4D4E"/>
    <w:rsid w:val="00606689"/>
    <w:rsid w:val="00615F1F"/>
    <w:rsid w:val="00620E5D"/>
    <w:rsid w:val="00633554"/>
    <w:rsid w:val="00655091"/>
    <w:rsid w:val="00670EF3"/>
    <w:rsid w:val="00675FB5"/>
    <w:rsid w:val="006840C8"/>
    <w:rsid w:val="00695779"/>
    <w:rsid w:val="006960A1"/>
    <w:rsid w:val="006B0080"/>
    <w:rsid w:val="006C04A4"/>
    <w:rsid w:val="0071444F"/>
    <w:rsid w:val="007161D6"/>
    <w:rsid w:val="00717CFE"/>
    <w:rsid w:val="00726451"/>
    <w:rsid w:val="00733F56"/>
    <w:rsid w:val="00741CE8"/>
    <w:rsid w:val="0075674B"/>
    <w:rsid w:val="00777715"/>
    <w:rsid w:val="007813B4"/>
    <w:rsid w:val="007D6E88"/>
    <w:rsid w:val="007E6426"/>
    <w:rsid w:val="007F362F"/>
    <w:rsid w:val="007F6216"/>
    <w:rsid w:val="008004A6"/>
    <w:rsid w:val="00814916"/>
    <w:rsid w:val="008532D6"/>
    <w:rsid w:val="00854B7F"/>
    <w:rsid w:val="00857F1E"/>
    <w:rsid w:val="00867D66"/>
    <w:rsid w:val="00867E0C"/>
    <w:rsid w:val="00874B0B"/>
    <w:rsid w:val="00884B95"/>
    <w:rsid w:val="008A3B5E"/>
    <w:rsid w:val="008B1A92"/>
    <w:rsid w:val="008C2199"/>
    <w:rsid w:val="008D4C2F"/>
    <w:rsid w:val="008D688E"/>
    <w:rsid w:val="009139A8"/>
    <w:rsid w:val="00930232"/>
    <w:rsid w:val="009324A2"/>
    <w:rsid w:val="00960492"/>
    <w:rsid w:val="00975DAE"/>
    <w:rsid w:val="009A7678"/>
    <w:rsid w:val="009C1FEC"/>
    <w:rsid w:val="009C2F91"/>
    <w:rsid w:val="009D7080"/>
    <w:rsid w:val="009E527C"/>
    <w:rsid w:val="00A4747F"/>
    <w:rsid w:val="00A651C5"/>
    <w:rsid w:val="00A75185"/>
    <w:rsid w:val="00A767C7"/>
    <w:rsid w:val="00A80296"/>
    <w:rsid w:val="00AB4E87"/>
    <w:rsid w:val="00AE40AB"/>
    <w:rsid w:val="00AE6572"/>
    <w:rsid w:val="00B76526"/>
    <w:rsid w:val="00B90CC3"/>
    <w:rsid w:val="00BB42BF"/>
    <w:rsid w:val="00BE5010"/>
    <w:rsid w:val="00C225F2"/>
    <w:rsid w:val="00C2408F"/>
    <w:rsid w:val="00C340FB"/>
    <w:rsid w:val="00C37AD3"/>
    <w:rsid w:val="00C41D60"/>
    <w:rsid w:val="00C43011"/>
    <w:rsid w:val="00C43C8E"/>
    <w:rsid w:val="00C60DB9"/>
    <w:rsid w:val="00C83805"/>
    <w:rsid w:val="00C92BB0"/>
    <w:rsid w:val="00C95E78"/>
    <w:rsid w:val="00C97626"/>
    <w:rsid w:val="00CC3802"/>
    <w:rsid w:val="00CC4833"/>
    <w:rsid w:val="00CD5A12"/>
    <w:rsid w:val="00D43AFF"/>
    <w:rsid w:val="00D836B9"/>
    <w:rsid w:val="00D929F7"/>
    <w:rsid w:val="00DE29B0"/>
    <w:rsid w:val="00DE771A"/>
    <w:rsid w:val="00DF0EDC"/>
    <w:rsid w:val="00E66605"/>
    <w:rsid w:val="00E718AC"/>
    <w:rsid w:val="00E736DC"/>
    <w:rsid w:val="00EA7C2B"/>
    <w:rsid w:val="00EB13C0"/>
    <w:rsid w:val="00EB7FB9"/>
    <w:rsid w:val="00EC203D"/>
    <w:rsid w:val="00EC4E5A"/>
    <w:rsid w:val="00EC7465"/>
    <w:rsid w:val="00EC7D65"/>
    <w:rsid w:val="00ED51CA"/>
    <w:rsid w:val="00EE5946"/>
    <w:rsid w:val="00EE7A3E"/>
    <w:rsid w:val="00F05208"/>
    <w:rsid w:val="00F07906"/>
    <w:rsid w:val="00F127DF"/>
    <w:rsid w:val="00F26B46"/>
    <w:rsid w:val="00F30116"/>
    <w:rsid w:val="00F44B1B"/>
    <w:rsid w:val="00F54A39"/>
    <w:rsid w:val="00FA0CB7"/>
    <w:rsid w:val="00FB28BF"/>
    <w:rsid w:val="00FC57E2"/>
    <w:rsid w:val="00FC5FEF"/>
    <w:rsid w:val="00FD1FB7"/>
    <w:rsid w:val="00FF1564"/>
    <w:rsid w:val="00FF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0684"/>
  <w15:chartTrackingRefBased/>
  <w15:docId w15:val="{A8EA676A-57E4-47A1-8B7C-CB5980B0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D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TechBullets">
    <w:name w:val="APTech Bullets"/>
    <w:basedOn w:val="Normal"/>
    <w:qFormat/>
    <w:rsid w:val="00633554"/>
    <w:pPr>
      <w:numPr>
        <w:numId w:val="2"/>
      </w:num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TechBulletslastbullet">
    <w:name w:val="APTech Bullets (last bullet)"/>
    <w:basedOn w:val="APTechBullets"/>
    <w:rsid w:val="007F6216"/>
    <w:pPr>
      <w:spacing w:after="240"/>
    </w:pPr>
    <w:rPr>
      <w:szCs w:val="20"/>
    </w:rPr>
  </w:style>
  <w:style w:type="paragraph" w:customStyle="1" w:styleId="APTechTableCaption">
    <w:name w:val="APTech Table Caption"/>
    <w:basedOn w:val="Normal"/>
    <w:next w:val="Normal"/>
    <w:qFormat/>
    <w:rsid w:val="007F6216"/>
    <w:pPr>
      <w:keepNext/>
      <w:spacing w:after="12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TechFigureCaption">
    <w:name w:val="APTech Figure Caption"/>
    <w:basedOn w:val="APTechTableCaption"/>
    <w:next w:val="Normal"/>
    <w:qFormat/>
    <w:rsid w:val="007F6216"/>
    <w:pPr>
      <w:keepNext w:val="0"/>
      <w:spacing w:before="120" w:after="0"/>
    </w:pPr>
  </w:style>
  <w:style w:type="paragraph" w:customStyle="1" w:styleId="APTechH1">
    <w:name w:val="APTech H1"/>
    <w:next w:val="Normal"/>
    <w:qFormat/>
    <w:rsid w:val="007F6216"/>
    <w:pPr>
      <w:spacing w:after="120" w:line="480" w:lineRule="auto"/>
      <w:jc w:val="center"/>
      <w:outlineLvl w:val="0"/>
    </w:pPr>
    <w:rPr>
      <w:rFonts w:ascii="Arial" w:eastAsia="Times New Roman" w:hAnsi="Arial" w:cs="Arial"/>
      <w:b/>
      <w:bCs/>
      <w:caps/>
      <w:kern w:val="32"/>
      <w:sz w:val="28"/>
      <w:szCs w:val="32"/>
    </w:rPr>
  </w:style>
  <w:style w:type="paragraph" w:customStyle="1" w:styleId="APTechH2">
    <w:name w:val="APTech H2"/>
    <w:next w:val="Normal"/>
    <w:qFormat/>
    <w:rsid w:val="007F6216"/>
    <w:pPr>
      <w:keepNext/>
      <w:spacing w:after="120" w:line="240" w:lineRule="auto"/>
      <w:outlineLvl w:val="1"/>
    </w:pPr>
    <w:rPr>
      <w:rFonts w:ascii="Arial" w:eastAsia="Times New Roman" w:hAnsi="Arial" w:cs="Arial"/>
      <w:b/>
      <w:bCs/>
      <w:kern w:val="32"/>
      <w:sz w:val="24"/>
      <w:szCs w:val="32"/>
    </w:rPr>
  </w:style>
  <w:style w:type="paragraph" w:customStyle="1" w:styleId="APTechH3">
    <w:name w:val="APTech H3"/>
    <w:next w:val="Normal"/>
    <w:qFormat/>
    <w:rsid w:val="007F6216"/>
    <w:pPr>
      <w:keepNext/>
      <w:spacing w:after="120" w:line="240" w:lineRule="auto"/>
      <w:outlineLvl w:val="2"/>
    </w:pPr>
    <w:rPr>
      <w:rFonts w:ascii="Arial" w:eastAsia="Times New Roman" w:hAnsi="Arial" w:cs="Arial"/>
      <w:b/>
      <w:bCs/>
      <w:i/>
      <w:kern w:val="32"/>
      <w:sz w:val="24"/>
      <w:szCs w:val="32"/>
    </w:rPr>
  </w:style>
  <w:style w:type="paragraph" w:customStyle="1" w:styleId="APTechH4">
    <w:name w:val="APTech H4"/>
    <w:next w:val="Normal"/>
    <w:qFormat/>
    <w:rsid w:val="007F6216"/>
    <w:pPr>
      <w:keepNext/>
      <w:spacing w:after="120" w:line="240" w:lineRule="auto"/>
      <w:outlineLvl w:val="3"/>
    </w:pPr>
    <w:rPr>
      <w:rFonts w:ascii="Arial" w:eastAsia="Times New Roman" w:hAnsi="Arial" w:cs="Arial"/>
      <w:bCs/>
      <w:i/>
      <w:kern w:val="32"/>
      <w:sz w:val="24"/>
      <w:szCs w:val="32"/>
    </w:rPr>
  </w:style>
  <w:style w:type="paragraph" w:customStyle="1" w:styleId="APTechH5">
    <w:name w:val="APTech H5"/>
    <w:next w:val="Normal"/>
    <w:qFormat/>
    <w:rsid w:val="007F6216"/>
    <w:pPr>
      <w:keepNext/>
      <w:spacing w:after="120" w:line="240" w:lineRule="auto"/>
      <w:ind w:left="720"/>
      <w:outlineLvl w:val="4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customStyle="1" w:styleId="APTechH6">
    <w:name w:val="APTech H6"/>
    <w:next w:val="Normal"/>
    <w:rsid w:val="007F6216"/>
    <w:pPr>
      <w:keepNext/>
      <w:spacing w:after="120" w:line="240" w:lineRule="auto"/>
      <w:ind w:left="720"/>
      <w:outlineLvl w:val="5"/>
    </w:pPr>
    <w:rPr>
      <w:rFonts w:ascii="Times New Roman" w:eastAsia="Times New Roman" w:hAnsi="Times New Roman" w:cs="Arial"/>
      <w:b/>
      <w:bCs/>
      <w:i/>
      <w:kern w:val="32"/>
      <w:sz w:val="24"/>
      <w:szCs w:val="32"/>
    </w:rPr>
  </w:style>
  <w:style w:type="paragraph" w:customStyle="1" w:styleId="APTechNumberlist">
    <w:name w:val="APTech Number list"/>
    <w:basedOn w:val="ListNumber"/>
    <w:rsid w:val="007F6216"/>
    <w:pPr>
      <w:numPr>
        <w:numId w:val="5"/>
      </w:numPr>
      <w:spacing w:after="120"/>
      <w:contextualSpacing w:val="0"/>
    </w:pPr>
    <w:rPr>
      <w:rFonts w:eastAsia="Times New Roman" w:cs="Times New Roman"/>
      <w:szCs w:val="24"/>
    </w:rPr>
  </w:style>
  <w:style w:type="paragraph" w:styleId="ListNumber">
    <w:name w:val="List Number"/>
    <w:basedOn w:val="Normal"/>
    <w:uiPriority w:val="99"/>
    <w:semiHidden/>
    <w:unhideWhenUsed/>
    <w:rsid w:val="007F6216"/>
    <w:pPr>
      <w:numPr>
        <w:numId w:val="3"/>
      </w:numPr>
      <w:spacing w:after="240"/>
      <w:contextualSpacing/>
    </w:pPr>
    <w:rPr>
      <w:rFonts w:ascii="Times New Roman" w:hAnsi="Times New Roman" w:cstheme="minorBidi"/>
      <w:sz w:val="24"/>
    </w:rPr>
  </w:style>
  <w:style w:type="paragraph" w:customStyle="1" w:styleId="APTechNumberlistlastbullet">
    <w:name w:val="APTech Number list (last bullet)"/>
    <w:basedOn w:val="APTechNumberlist"/>
    <w:next w:val="Normal"/>
    <w:rsid w:val="007F6216"/>
    <w:pPr>
      <w:spacing w:after="240"/>
    </w:pPr>
    <w:rPr>
      <w:szCs w:val="20"/>
    </w:rPr>
  </w:style>
  <w:style w:type="paragraph" w:customStyle="1" w:styleId="APTechParagraph">
    <w:name w:val="APTech Paragraph"/>
    <w:qFormat/>
    <w:rsid w:val="007F621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TechReference">
    <w:name w:val="APTech Reference"/>
    <w:basedOn w:val="APTechParagraph"/>
    <w:qFormat/>
    <w:rsid w:val="007F6216"/>
  </w:style>
  <w:style w:type="table" w:customStyle="1" w:styleId="APTechTableStyle">
    <w:name w:val="APTech Table Style"/>
    <w:basedOn w:val="TableGrid"/>
    <w:rsid w:val="007F6216"/>
    <w:pPr>
      <w:jc w:val="center"/>
    </w:pPr>
    <w:rPr>
      <w:rFonts w:ascii="Times New Roman" w:eastAsia="Times New Roman" w:hAnsi="Times New Roman" w:cs="Times New Roman"/>
      <w:sz w:val="24"/>
      <w:szCs w:val="20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000000"/>
        <w:insideV w:val="single" w:sz="6" w:space="0" w:color="000000"/>
      </w:tblBorders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center"/>
      </w:pPr>
      <w:rPr>
        <w:b/>
        <w:caps w:val="0"/>
        <w:color w:val="auto"/>
      </w:rPr>
      <w:tblPr/>
      <w:trPr>
        <w:cantSplit/>
      </w:trPr>
      <w:tcPr>
        <w:tcBorders>
          <w:bottom w:val="double" w:sz="4" w:space="0" w:color="auto"/>
        </w:tcBorders>
        <w:vAlign w:val="bottom"/>
      </w:tcPr>
    </w:tblStylePr>
    <w:tblStylePr w:type="firstCol">
      <w:pPr>
        <w:jc w:val="left"/>
      </w:pPr>
      <w:rPr>
        <w:b/>
      </w:rPr>
    </w:tblStylePr>
  </w:style>
  <w:style w:type="table" w:styleId="TableGrid">
    <w:name w:val="Table Grid"/>
    <w:basedOn w:val="TableNormal"/>
    <w:uiPriority w:val="39"/>
    <w:rsid w:val="007F6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51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51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51CA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1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1CA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15697"/>
    <w:pPr>
      <w:ind w:left="720"/>
    </w:pPr>
  </w:style>
  <w:style w:type="character" w:styleId="Hyperlink">
    <w:name w:val="Hyperlink"/>
    <w:basedOn w:val="DefaultParagraphFont"/>
    <w:uiPriority w:val="99"/>
    <w:unhideWhenUsed/>
    <w:rsid w:val="000B0E8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5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D0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25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D03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2C67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688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tate.nj.us/transportation/eng/pavement/technologies.s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Evans</dc:creator>
  <cp:keywords/>
  <dc:description/>
  <cp:lastModifiedBy>Kelly Smith</cp:lastModifiedBy>
  <cp:revision>2</cp:revision>
  <dcterms:created xsi:type="dcterms:W3CDTF">2023-03-31T20:15:00Z</dcterms:created>
  <dcterms:modified xsi:type="dcterms:W3CDTF">2023-03-31T20:15:00Z</dcterms:modified>
</cp:coreProperties>
</file>