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62339C53" w:rsidR="00E35E0F" w:rsidRPr="00E35E0F" w:rsidRDefault="001C10C6" w:rsidP="00551D8A">
            <w:pPr>
              <w:ind w:right="-720"/>
              <w:rPr>
                <w:rFonts w:ascii="Arial" w:hAnsi="Arial" w:cs="Arial"/>
                <w:sz w:val="20"/>
                <w:szCs w:val="20"/>
              </w:rPr>
            </w:pPr>
            <w:r>
              <w:rPr>
                <w:rFonts w:ascii="Arial" w:hAnsi="Arial" w:cs="Arial"/>
                <w:sz w:val="20"/>
                <w:szCs w:val="20"/>
              </w:rPr>
              <w:t>TPF-5(4</w:t>
            </w:r>
            <w:r w:rsidR="006D19B6">
              <w:rPr>
                <w:rFonts w:ascii="Arial" w:hAnsi="Arial" w:cs="Arial"/>
                <w:sz w:val="20"/>
                <w:szCs w:val="20"/>
              </w:rPr>
              <w:t>99</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2A6F9832"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0E5161">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0E5161">
              <w:rPr>
                <w:rFonts w:ascii="Arial" w:hAnsi="Arial" w:cs="Arial"/>
                <w:sz w:val="20"/>
                <w:szCs w:val="20"/>
              </w:rPr>
              <w:t>3</w:t>
            </w:r>
          </w:p>
          <w:p w14:paraId="2F9CA8A4" w14:textId="2F8EBA68"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4FEF2028"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64AE5179"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391F0D3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2F7E29E" w:rsidR="00535598" w:rsidRPr="00B66A21" w:rsidRDefault="006D19B6" w:rsidP="0003476C">
            <w:pPr>
              <w:ind w:right="-720"/>
              <w:rPr>
                <w:rFonts w:ascii="Arial" w:hAnsi="Arial" w:cs="Arial"/>
                <w:sz w:val="20"/>
                <w:szCs w:val="20"/>
              </w:rPr>
            </w:pPr>
            <w:r>
              <w:rPr>
                <w:rFonts w:ascii="Arial" w:hAnsi="Arial" w:cs="Arial"/>
                <w:sz w:val="20"/>
                <w:szCs w:val="20"/>
              </w:rPr>
              <w:t>October 2022</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178ECD9" w:rsidR="009136A4" w:rsidRPr="00C13753" w:rsidRDefault="006D19B6" w:rsidP="0003476C">
            <w:pPr>
              <w:ind w:right="-720"/>
              <w:rPr>
                <w:rFonts w:ascii="Arial" w:hAnsi="Arial" w:cs="Arial"/>
                <w:b/>
                <w:sz w:val="20"/>
                <w:szCs w:val="20"/>
              </w:rPr>
            </w:pPr>
            <w:r>
              <w:rPr>
                <w:rFonts w:ascii="Arial" w:hAnsi="Arial" w:cs="Arial"/>
                <w:b/>
                <w:sz w:val="20"/>
                <w:szCs w:val="20"/>
              </w:rPr>
              <w:t>September 30, 2023</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4680A47" w:rsidR="00874EF7" w:rsidRPr="00B66A21" w:rsidRDefault="001C10C6" w:rsidP="00551D8A">
            <w:pPr>
              <w:ind w:right="-720"/>
              <w:rPr>
                <w:rFonts w:ascii="Arial" w:hAnsi="Arial" w:cs="Arial"/>
                <w:sz w:val="20"/>
                <w:szCs w:val="20"/>
              </w:rPr>
            </w:pPr>
            <w:r>
              <w:rPr>
                <w:rFonts w:ascii="Arial" w:hAnsi="Arial" w:cs="Arial"/>
                <w:sz w:val="20"/>
                <w:szCs w:val="20"/>
              </w:rPr>
              <w:t>$</w:t>
            </w:r>
            <w:r w:rsidR="006D19B6">
              <w:rPr>
                <w:rFonts w:ascii="Arial" w:hAnsi="Arial" w:cs="Arial"/>
                <w:sz w:val="20"/>
                <w:szCs w:val="20"/>
              </w:rPr>
              <w:t>64,000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584E808" w14:textId="77777777" w:rsidR="00035DD2" w:rsidRDefault="00035DD2" w:rsidP="00035DD2">
            <w:pPr>
              <w:ind w:right="-720"/>
              <w:rPr>
                <w:rFonts w:ascii="Arial" w:hAnsi="Arial" w:cs="Arial"/>
                <w:sz w:val="20"/>
                <w:szCs w:val="20"/>
              </w:rPr>
            </w:pPr>
          </w:p>
          <w:p w14:paraId="45475DF0"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There have been twelve biennial International Conferences on Ecology and Transportation (ICOET) since its origin in 1999. The most recent conference was the largest to date, entirely virtual due to the Covid Pandemic held in September 2021 and entirely hosted by the ICOET Steering Committee with assistance from the Road Ecology Center at the University of California – Davis (UC Davis). This pooled fund will support the next conference in June of 2023 that will be a hybrid conference with the in-person part occurring in Burlington, Vermont.</w:t>
            </w:r>
          </w:p>
          <w:p w14:paraId="5DEB88CB"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2FEBADF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2021 conference had 581 participants from 29 countries.</w:t>
            </w:r>
          </w:p>
          <w:p w14:paraId="7F7D8484" w14:textId="43B07054" w:rsid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This new pooled fund will supersede the previous pooled fund (TPF 5-452) that was completed on December 31, 2021.</w:t>
            </w:r>
          </w:p>
          <w:p w14:paraId="0A1DCC62" w14:textId="790BD113" w:rsidR="006D19B6" w:rsidRPr="006D19B6" w:rsidRDefault="006D19B6" w:rsidP="006D19B6">
            <w:pPr>
              <w:shd w:val="clear" w:color="auto" w:fill="FFFFFF"/>
              <w:spacing w:after="100" w:afterAutospacing="1"/>
              <w:rPr>
                <w:rFonts w:ascii="Arial" w:eastAsia="Times New Roman" w:hAnsi="Arial" w:cs="Arial"/>
                <w:color w:val="212529"/>
                <w:sz w:val="23"/>
                <w:szCs w:val="23"/>
              </w:rPr>
            </w:pPr>
            <w:r>
              <w:rPr>
                <w:rFonts w:ascii="Arial" w:eastAsia="Times New Roman" w:hAnsi="Arial" w:cs="Arial"/>
                <w:color w:val="212529"/>
                <w:sz w:val="23"/>
                <w:szCs w:val="23"/>
              </w:rPr>
              <w:t>P</w:t>
            </w:r>
            <w:r w:rsidRPr="006D19B6">
              <w:rPr>
                <w:rFonts w:ascii="Arial" w:eastAsia="Times New Roman" w:hAnsi="Arial" w:cs="Arial"/>
                <w:color w:val="212529"/>
                <w:sz w:val="23"/>
                <w:szCs w:val="23"/>
              </w:rPr>
              <w:t>rovide one ICOET Conference in 2023 for communication, technology transfer and information sharing among transportation professionals on ecology issues and transportation. The ICOET Conference for 2023 will be in Vermont cohosted by the Vermont Agency of Transportation and the Vermont Fish &amp; Wildlife Department, with support from FHWA and organized by the Road Ecology Center at the UC Davis.  There will also be a hybrid component to the conference that folks can attend virtually.</w:t>
            </w:r>
          </w:p>
          <w:p w14:paraId="343690D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Building on the 2021 ICOET Conference this 12th biennial conference in 2023 will:</w:t>
            </w:r>
          </w:p>
          <w:p w14:paraId="2C5F354A"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Bring experts around the world to exchange knowledge &amp; best practices on the interrelationship of ecology &amp; transportation.</w:t>
            </w:r>
          </w:p>
          <w:p w14:paraId="5B8C1FAA"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The sharing of ideas through presentations, panel discussion, breaks, lunches, receptions, and field trips.</w:t>
            </w:r>
          </w:p>
          <w:p w14:paraId="29A7970C"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r w:rsidRPr="006D19B6">
              <w:rPr>
                <w:rFonts w:ascii="Arial" w:eastAsia="Times New Roman" w:hAnsi="Arial" w:cs="Arial"/>
                <w:color w:val="212529"/>
                <w:sz w:val="23"/>
                <w:szCs w:val="23"/>
              </w:rPr>
              <w:t>• Expand the shared knowledge and learn about the cutting edge of science on the topic of ecology and transportation.</w:t>
            </w:r>
          </w:p>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3DCE64ED" w:rsidR="001C10C6" w:rsidRDefault="001C10C6" w:rsidP="00551D8A">
            <w:pPr>
              <w:ind w:right="-720"/>
              <w:rPr>
                <w:rFonts w:ascii="Verdana" w:hAnsi="Verdana"/>
                <w:color w:val="333333"/>
                <w:sz w:val="20"/>
                <w:szCs w:val="20"/>
                <w:shd w:val="clear" w:color="auto" w:fill="FFFFFF"/>
              </w:rPr>
            </w:pPr>
          </w:p>
          <w:p w14:paraId="7D4DE490" w14:textId="09D43E40" w:rsidR="00A6268B" w:rsidRDefault="00595AB6" w:rsidP="00595AB6">
            <w:pPr>
              <w:ind w:right="-720"/>
              <w:rPr>
                <w:rFonts w:ascii="Arial" w:hAnsi="Arial" w:cs="Arial"/>
                <w:sz w:val="20"/>
                <w:szCs w:val="20"/>
              </w:rPr>
            </w:pPr>
            <w:r>
              <w:rPr>
                <w:rFonts w:ascii="Arial" w:hAnsi="Arial" w:cs="Arial"/>
                <w:sz w:val="20"/>
                <w:szCs w:val="20"/>
              </w:rPr>
              <w:t>Had virtual Teams Meeting with all the participating states</w:t>
            </w:r>
            <w:r w:rsidR="00A6268B">
              <w:rPr>
                <w:rFonts w:ascii="Arial" w:hAnsi="Arial" w:cs="Arial"/>
                <w:sz w:val="20"/>
                <w:szCs w:val="20"/>
              </w:rPr>
              <w:t xml:space="preserve"> and the contractor (UC Davis)</w:t>
            </w:r>
            <w:r>
              <w:rPr>
                <w:rFonts w:ascii="Arial" w:hAnsi="Arial" w:cs="Arial"/>
                <w:sz w:val="20"/>
                <w:szCs w:val="20"/>
              </w:rPr>
              <w:t xml:space="preserve"> on Feb 23</w:t>
            </w:r>
            <w:r w:rsidRPr="00595AB6">
              <w:rPr>
                <w:rFonts w:ascii="Arial" w:hAnsi="Arial" w:cs="Arial"/>
                <w:sz w:val="20"/>
                <w:szCs w:val="20"/>
                <w:vertAlign w:val="superscript"/>
              </w:rPr>
              <w:t>rd</w:t>
            </w:r>
            <w:r>
              <w:rPr>
                <w:rFonts w:ascii="Arial" w:hAnsi="Arial" w:cs="Arial"/>
                <w:sz w:val="20"/>
                <w:szCs w:val="20"/>
              </w:rPr>
              <w:t>.  Working with the state</w:t>
            </w:r>
            <w:r>
              <w:rPr>
                <w:rFonts w:ascii="Arial" w:hAnsi="Arial" w:cs="Arial"/>
                <w:sz w:val="20"/>
                <w:szCs w:val="20"/>
              </w:rPr>
              <w:t xml:space="preserve">s to transfer funds to </w:t>
            </w:r>
            <w:r w:rsidR="00A6268B">
              <w:rPr>
                <w:rFonts w:ascii="Arial" w:hAnsi="Arial" w:cs="Arial"/>
                <w:sz w:val="20"/>
                <w:szCs w:val="20"/>
              </w:rPr>
              <w:t>Washington state for the pooled fund.  The conference is in June in Vermont both in person with a hybrid component.  Finalizing the task order with UC Davis for the conference.</w:t>
            </w:r>
          </w:p>
          <w:p w14:paraId="3202A2F4" w14:textId="77777777" w:rsidR="00595AB6" w:rsidRDefault="00595AB6" w:rsidP="00551D8A">
            <w:pPr>
              <w:ind w:right="-720"/>
              <w:rPr>
                <w:rFonts w:ascii="Verdana" w:hAnsi="Verdana"/>
                <w:color w:val="333333"/>
                <w:sz w:val="20"/>
                <w:szCs w:val="20"/>
                <w:shd w:val="clear" w:color="auto" w:fill="FFFFFF"/>
              </w:rPr>
            </w:pPr>
          </w:p>
          <w:p w14:paraId="0416BAC5" w14:textId="67B1D6AC" w:rsidR="00717972" w:rsidRPr="006D19B6" w:rsidRDefault="0043358E" w:rsidP="006D19B6">
            <w:pPr>
              <w:pStyle w:val="xmsonormal"/>
              <w:shd w:val="clear" w:color="auto" w:fill="FFFFFF"/>
              <w:rPr>
                <w:color w:val="201F1E"/>
              </w:rPr>
            </w:pPr>
            <w:r>
              <w:rPr>
                <w:rFonts w:ascii="Arial" w:hAnsi="Arial" w:cs="Arial"/>
                <w:b/>
                <w:bCs/>
                <w:i/>
                <w:iCs/>
                <w:color w:val="201F1E"/>
                <w:sz w:val="20"/>
                <w:szCs w:val="20"/>
              </w:rPr>
              <w:t> </w:t>
            </w: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78E09CFA" w14:textId="668482B3" w:rsidR="007F1291" w:rsidRDefault="007F1291" w:rsidP="00E77FB8">
            <w:pPr>
              <w:ind w:right="-720"/>
              <w:rPr>
                <w:rFonts w:ascii="Arial" w:hAnsi="Arial" w:cs="Arial"/>
                <w:sz w:val="20"/>
                <w:szCs w:val="20"/>
              </w:rPr>
            </w:pPr>
            <w:r>
              <w:rPr>
                <w:rFonts w:ascii="Arial" w:hAnsi="Arial" w:cs="Arial"/>
                <w:sz w:val="20"/>
                <w:szCs w:val="20"/>
              </w:rPr>
              <w:t>Waiting for final funds to be transferred, then, WSDOT can sign the task order with UC Davis.</w:t>
            </w:r>
            <w:r w:rsidR="00C134A5">
              <w:rPr>
                <w:rFonts w:ascii="Arial" w:hAnsi="Arial" w:cs="Arial"/>
                <w:sz w:val="20"/>
                <w:szCs w:val="20"/>
              </w:rPr>
              <w:t xml:space="preserve">  7 participating states are </w:t>
            </w:r>
          </w:p>
          <w:p w14:paraId="0496F375" w14:textId="31917385" w:rsidR="00C134A5" w:rsidRDefault="00C134A5" w:rsidP="00E77FB8">
            <w:pPr>
              <w:ind w:right="-720"/>
              <w:rPr>
                <w:rFonts w:ascii="Arial" w:hAnsi="Arial" w:cs="Arial"/>
                <w:sz w:val="20"/>
                <w:szCs w:val="20"/>
              </w:rPr>
            </w:pPr>
            <w:r>
              <w:rPr>
                <w:rFonts w:ascii="Arial" w:hAnsi="Arial" w:cs="Arial"/>
                <w:sz w:val="20"/>
                <w:szCs w:val="20"/>
              </w:rPr>
              <w:t>providing $64,000 for the conference.</w:t>
            </w:r>
          </w:p>
          <w:p w14:paraId="4B81A0EB" w14:textId="77777777" w:rsidR="0043358E" w:rsidRDefault="0043358E" w:rsidP="00A6268B">
            <w:pPr>
              <w:ind w:right="-720"/>
              <w:rPr>
                <w:rFonts w:ascii="Arial" w:hAnsi="Arial" w:cs="Arial"/>
                <w:sz w:val="20"/>
                <w:szCs w:val="20"/>
              </w:rPr>
            </w:pPr>
          </w:p>
          <w:p w14:paraId="29C4E8E5" w14:textId="4F675DAD" w:rsidR="00A6268B" w:rsidRDefault="00A6268B" w:rsidP="00A6268B">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93E5" w14:textId="77777777" w:rsidR="00B9342D" w:rsidRDefault="00B9342D" w:rsidP="00106C83">
      <w:pPr>
        <w:spacing w:after="0" w:line="240" w:lineRule="auto"/>
      </w:pPr>
      <w:r>
        <w:separator/>
      </w:r>
    </w:p>
  </w:endnote>
  <w:endnote w:type="continuationSeparator" w:id="0">
    <w:p w14:paraId="3F760B7A" w14:textId="77777777" w:rsidR="00B9342D" w:rsidRDefault="00B934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E7E5" w14:textId="77777777" w:rsidR="00B9342D" w:rsidRDefault="00B9342D" w:rsidP="00106C83">
      <w:pPr>
        <w:spacing w:after="0" w:line="240" w:lineRule="auto"/>
      </w:pPr>
      <w:r>
        <w:separator/>
      </w:r>
    </w:p>
  </w:footnote>
  <w:footnote w:type="continuationSeparator" w:id="0">
    <w:p w14:paraId="5802BC1C" w14:textId="77777777" w:rsidR="00B9342D" w:rsidRDefault="00B9342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5087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E5161"/>
    <w:rsid w:val="000F6417"/>
    <w:rsid w:val="00106C83"/>
    <w:rsid w:val="00117DFA"/>
    <w:rsid w:val="00131815"/>
    <w:rsid w:val="001547D0"/>
    <w:rsid w:val="00161153"/>
    <w:rsid w:val="001C10C6"/>
    <w:rsid w:val="001D16C9"/>
    <w:rsid w:val="0021446D"/>
    <w:rsid w:val="00262338"/>
    <w:rsid w:val="00293FD8"/>
    <w:rsid w:val="002A79C8"/>
    <w:rsid w:val="002B696C"/>
    <w:rsid w:val="002D0B55"/>
    <w:rsid w:val="002D6691"/>
    <w:rsid w:val="00372267"/>
    <w:rsid w:val="0038705A"/>
    <w:rsid w:val="003C01AD"/>
    <w:rsid w:val="003C6A3D"/>
    <w:rsid w:val="004144E6"/>
    <w:rsid w:val="004156B2"/>
    <w:rsid w:val="0043358E"/>
    <w:rsid w:val="00437734"/>
    <w:rsid w:val="00475EE6"/>
    <w:rsid w:val="004E14DC"/>
    <w:rsid w:val="00514C1A"/>
    <w:rsid w:val="00535598"/>
    <w:rsid w:val="00541B23"/>
    <w:rsid w:val="00547EE3"/>
    <w:rsid w:val="00551D8A"/>
    <w:rsid w:val="005613A9"/>
    <w:rsid w:val="00573054"/>
    <w:rsid w:val="00581B36"/>
    <w:rsid w:val="00583E8E"/>
    <w:rsid w:val="00595AB6"/>
    <w:rsid w:val="005A1EE9"/>
    <w:rsid w:val="005B0946"/>
    <w:rsid w:val="005D0632"/>
    <w:rsid w:val="005D5923"/>
    <w:rsid w:val="00601EBD"/>
    <w:rsid w:val="00651262"/>
    <w:rsid w:val="006516B6"/>
    <w:rsid w:val="00670871"/>
    <w:rsid w:val="00682603"/>
    <w:rsid w:val="00682C5E"/>
    <w:rsid w:val="006943B2"/>
    <w:rsid w:val="006D19B6"/>
    <w:rsid w:val="00717972"/>
    <w:rsid w:val="00743C01"/>
    <w:rsid w:val="00790C4A"/>
    <w:rsid w:val="007E5BD2"/>
    <w:rsid w:val="007F1291"/>
    <w:rsid w:val="007F144E"/>
    <w:rsid w:val="0081155E"/>
    <w:rsid w:val="00872F18"/>
    <w:rsid w:val="00874169"/>
    <w:rsid w:val="00874EF7"/>
    <w:rsid w:val="008C3939"/>
    <w:rsid w:val="008C402E"/>
    <w:rsid w:val="008F299E"/>
    <w:rsid w:val="00901CAA"/>
    <w:rsid w:val="009136A4"/>
    <w:rsid w:val="00957743"/>
    <w:rsid w:val="009E62D2"/>
    <w:rsid w:val="009F01FF"/>
    <w:rsid w:val="00A23A72"/>
    <w:rsid w:val="00A30167"/>
    <w:rsid w:val="00A43875"/>
    <w:rsid w:val="00A6268B"/>
    <w:rsid w:val="00A63677"/>
    <w:rsid w:val="00A64E0F"/>
    <w:rsid w:val="00A67AF2"/>
    <w:rsid w:val="00AB4670"/>
    <w:rsid w:val="00AE46B0"/>
    <w:rsid w:val="00AF1C77"/>
    <w:rsid w:val="00B2185C"/>
    <w:rsid w:val="00B21DE6"/>
    <w:rsid w:val="00B242E2"/>
    <w:rsid w:val="00B66A21"/>
    <w:rsid w:val="00B7739F"/>
    <w:rsid w:val="00B9342D"/>
    <w:rsid w:val="00C134A5"/>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176C8"/>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2023-04-13T16:46:00Z</dcterms:created>
  <dcterms:modified xsi:type="dcterms:W3CDTF">2023-04-13T16:46:00Z</dcterms:modified>
</cp:coreProperties>
</file>