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7777ABF5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703B83" w:rsidRPr="00703B83">
        <w:rPr>
          <w:rFonts w:ascii="Arial" w:hAnsi="Arial" w:cs="Arial"/>
          <w:sz w:val="24"/>
          <w:szCs w:val="24"/>
          <w:u w:val="single"/>
        </w:rPr>
        <w:t>1/</w:t>
      </w:r>
      <w:r w:rsidR="004973FA">
        <w:rPr>
          <w:rFonts w:ascii="Arial" w:hAnsi="Arial" w:cs="Arial"/>
          <w:sz w:val="24"/>
          <w:szCs w:val="24"/>
          <w:u w:val="single"/>
        </w:rPr>
        <w:t>6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4973FA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3EE39C62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0FF21E38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1E5397C" w:rsidR="00551D8A" w:rsidRPr="00EA36A7" w:rsidRDefault="004973FA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17E9C042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$489,697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C2CD6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 h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78C7692B" w14:textId="13C2928F" w:rsidR="00A71198" w:rsidRP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4F056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38098" w14:textId="151A831F" w:rsidR="00DF2127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$150,000 has been reserved</w:t>
            </w:r>
          </w:p>
          <w:p w14:paraId="6455A5E1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</w:t>
            </w:r>
          </w:p>
          <w:p w14:paraId="5609A065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$214,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697 plus any new contributions remain available </w:t>
            </w:r>
          </w:p>
          <w:p w14:paraId="39DAE4E6" w14:textId="1E9B7295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projects. 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5CF53" w14:textId="77777777" w:rsidR="0055006B" w:rsidRDefault="0055006B" w:rsidP="00551D8A">
            <w:pPr>
              <w:ind w:right="-720"/>
            </w:pPr>
          </w:p>
          <w:p w14:paraId="21308BA5" w14:textId="0513849D" w:rsidR="00971287" w:rsidRPr="00EA36A7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198">
              <w:rPr>
                <w:rFonts w:ascii="Arial" w:hAnsi="Arial" w:cs="Arial"/>
                <w:sz w:val="20"/>
                <w:szCs w:val="20"/>
              </w:rPr>
              <w:t>$199, 016 for the TDM project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46312C9B" w14:textId="305B0E59" w:rsidR="004F02EE" w:rsidRPr="000B3615" w:rsidRDefault="000B3615" w:rsidP="006A1066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rPr>
                <w:rFonts w:ascii="Arial" w:hAnsi="Arial" w:cs="Arial"/>
                <w:sz w:val="20"/>
                <w:szCs w:val="20"/>
              </w:rPr>
              <w:t xml:space="preserve">Transferring funds that were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returned to the States from the old project number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to the new project number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continued into </w:t>
            </w:r>
            <w:r>
              <w:rPr>
                <w:rFonts w:ascii="Arial" w:hAnsi="Arial" w:cs="Arial"/>
                <w:sz w:val="20"/>
                <w:szCs w:val="20"/>
              </w:rPr>
              <w:t>this quarter.</w:t>
            </w:r>
          </w:p>
          <w:p w14:paraId="341654F1" w14:textId="45FDC5A4" w:rsidR="0072310A" w:rsidRDefault="006208EC" w:rsidP="006A1066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51EFC56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42AEC" w14:textId="5035328D" w:rsidR="006A1066" w:rsidRPr="006A1066" w:rsidRDefault="006A1066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new statement of works are under development and will be ready in the near future. This includes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 and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work.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683B280E" w:rsidR="00625437" w:rsidRDefault="00F766ED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Annual Meeting</w:t>
            </w:r>
          </w:p>
          <w:p w14:paraId="2E87A820" w14:textId="06A58553" w:rsidR="004F02EE" w:rsidRDefault="006A1066" w:rsidP="001F5D4F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quarterly call was held on November 8, 2022 in lieu of an in-person annual meeting, which will be moved to early Spring 2023. </w:t>
            </w:r>
          </w:p>
          <w:p w14:paraId="16F86FC3" w14:textId="0483C107" w:rsidR="006A1066" w:rsidRPr="006A1066" w:rsidRDefault="006A1066" w:rsidP="001F5D4F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During the quarterly call, members discussed the potential for an in-person annual meeting and agreed to move forward with that option. Responses to a survey will be used to select the date of the meeting.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57B7A85F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1066">
              <w:rPr>
                <w:rFonts w:ascii="Arial" w:hAnsi="Arial" w:cs="Arial"/>
                <w:sz w:val="20"/>
                <w:szCs w:val="20"/>
              </w:rPr>
              <w:t>annual</w:t>
            </w:r>
            <w:r w:rsidR="009A1EBD">
              <w:rPr>
                <w:rFonts w:ascii="Arial" w:hAnsi="Arial" w:cs="Arial"/>
                <w:sz w:val="20"/>
                <w:szCs w:val="20"/>
              </w:rPr>
              <w:t xml:space="preserve"> meeting with be in-person and take place sometime between mid-March and early April. </w:t>
            </w:r>
            <w:r w:rsidR="00F76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066">
              <w:rPr>
                <w:rFonts w:ascii="Arial" w:hAnsi="Arial" w:cs="Arial"/>
                <w:sz w:val="20"/>
                <w:szCs w:val="20"/>
              </w:rPr>
              <w:t xml:space="preserve">Volpe will coordinate with FHWA on the logistics of that event. </w:t>
            </w:r>
          </w:p>
          <w:p w14:paraId="42D8721A" w14:textId="049E1612" w:rsidR="00292C2E" w:rsidRDefault="00292C2E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D53616E" w14:textId="3BC31D01" w:rsidR="00E40F95" w:rsidRDefault="00E01050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Finalization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Operational Decisions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Attractiveness and Consumer Choice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SOWs.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6002A1C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Managed Lane Facilities project will be selecting five locations for case studies to see how travel demand management can supplement managed lanes.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76FBF54D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F766ED">
              <w:rPr>
                <w:rFonts w:ascii="Arial" w:hAnsi="Arial" w:cs="Arial"/>
                <w:sz w:val="20"/>
                <w:szCs w:val="20"/>
              </w:rPr>
              <w:t>nine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A71198">
              <w:rPr>
                <w:rFonts w:ascii="Arial" w:hAnsi="Arial" w:cs="Arial"/>
                <w:sz w:val="20"/>
                <w:szCs w:val="20"/>
              </w:rPr>
              <w:t>29)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414D480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are two </w:t>
            </w:r>
            <w:r w:rsidR="00505314">
              <w:rPr>
                <w:rFonts w:ascii="Arial" w:hAnsi="Arial" w:cs="Arial"/>
                <w:sz w:val="20"/>
                <w:szCs w:val="20"/>
              </w:rPr>
              <w:t>additional project</w:t>
            </w:r>
            <w:r w:rsidR="00A71198">
              <w:rPr>
                <w:rFonts w:ascii="Arial" w:hAnsi="Arial" w:cs="Arial"/>
                <w:sz w:val="20"/>
                <w:szCs w:val="20"/>
              </w:rPr>
              <w:t>s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7A9734DE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A71198">
              <w:rPr>
                <w:rFonts w:ascii="Arial" w:hAnsi="Arial" w:cs="Arial"/>
                <w:sz w:val="20"/>
                <w:szCs w:val="20"/>
              </w:rPr>
              <w:t>489,697.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0250A16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>two new research projects. T</w:t>
            </w:r>
            <w:r w:rsidR="00161374">
              <w:rPr>
                <w:rFonts w:ascii="Arial" w:hAnsi="Arial" w:cs="Arial"/>
                <w:sz w:val="20"/>
                <w:szCs w:val="20"/>
              </w:rPr>
              <w:t>wo new projects were selected by the pooled fund during the 2021 annual meeting.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The SOWs for those two projects are being </w:t>
            </w:r>
            <w:r w:rsidR="00A71198">
              <w:rPr>
                <w:rFonts w:ascii="Arial" w:hAnsi="Arial" w:cs="Arial"/>
                <w:sz w:val="20"/>
                <w:szCs w:val="20"/>
              </w:rPr>
              <w:t>finalized.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default" r:id="rId11"/>
      <w:foot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B320" w14:textId="77777777" w:rsidR="00226446" w:rsidRDefault="00226446" w:rsidP="00106C83">
      <w:pPr>
        <w:spacing w:after="0" w:line="240" w:lineRule="auto"/>
      </w:pPr>
      <w:r>
        <w:separator/>
      </w:r>
    </w:p>
  </w:endnote>
  <w:endnote w:type="continuationSeparator" w:id="0">
    <w:p w14:paraId="6D23630C" w14:textId="77777777" w:rsidR="00226446" w:rsidRDefault="0022644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320C" w14:textId="77777777" w:rsidR="00226446" w:rsidRDefault="00226446" w:rsidP="00106C83">
      <w:pPr>
        <w:spacing w:after="0" w:line="240" w:lineRule="auto"/>
      </w:pPr>
      <w:r>
        <w:separator/>
      </w:r>
    </w:p>
  </w:footnote>
  <w:footnote w:type="continuationSeparator" w:id="0">
    <w:p w14:paraId="3541A5C1" w14:textId="77777777" w:rsidR="00226446" w:rsidRDefault="00226446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162010"/>
      <w:docPartObj>
        <w:docPartGallery w:val="Watermarks"/>
        <w:docPartUnique/>
      </w:docPartObj>
    </w:sdtPr>
    <w:sdtContent>
      <w:p w14:paraId="2AE4D23A" w14:textId="3BAF39C0" w:rsidR="00447A95" w:rsidRDefault="00000000">
        <w:pPr>
          <w:pStyle w:val="Header"/>
        </w:pPr>
        <w:r>
          <w:rPr>
            <w:noProof/>
          </w:rPr>
          <w:pict w14:anchorId="58A81F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3170207">
    <w:abstractNumId w:val="21"/>
  </w:num>
  <w:num w:numId="2" w16cid:durableId="933902148">
    <w:abstractNumId w:val="17"/>
  </w:num>
  <w:num w:numId="3" w16cid:durableId="1721173345">
    <w:abstractNumId w:val="9"/>
  </w:num>
  <w:num w:numId="4" w16cid:durableId="330111653">
    <w:abstractNumId w:val="11"/>
  </w:num>
  <w:num w:numId="5" w16cid:durableId="591469706">
    <w:abstractNumId w:val="15"/>
  </w:num>
  <w:num w:numId="6" w16cid:durableId="1718236036">
    <w:abstractNumId w:val="19"/>
  </w:num>
  <w:num w:numId="7" w16cid:durableId="1711346471">
    <w:abstractNumId w:val="23"/>
  </w:num>
  <w:num w:numId="8" w16cid:durableId="830367080">
    <w:abstractNumId w:val="4"/>
  </w:num>
  <w:num w:numId="9" w16cid:durableId="777916213">
    <w:abstractNumId w:val="24"/>
  </w:num>
  <w:num w:numId="10" w16cid:durableId="1393385800">
    <w:abstractNumId w:val="2"/>
  </w:num>
  <w:num w:numId="11" w16cid:durableId="1010763772">
    <w:abstractNumId w:val="14"/>
  </w:num>
  <w:num w:numId="12" w16cid:durableId="1241210430">
    <w:abstractNumId w:val="18"/>
  </w:num>
  <w:num w:numId="13" w16cid:durableId="160779178">
    <w:abstractNumId w:val="0"/>
  </w:num>
  <w:num w:numId="14" w16cid:durableId="1196700096">
    <w:abstractNumId w:val="7"/>
  </w:num>
  <w:num w:numId="15" w16cid:durableId="1890341528">
    <w:abstractNumId w:val="13"/>
  </w:num>
  <w:num w:numId="16" w16cid:durableId="424884042">
    <w:abstractNumId w:val="20"/>
  </w:num>
  <w:num w:numId="17" w16cid:durableId="407770830">
    <w:abstractNumId w:val="3"/>
  </w:num>
  <w:num w:numId="18" w16cid:durableId="293950146">
    <w:abstractNumId w:val="16"/>
  </w:num>
  <w:num w:numId="19" w16cid:durableId="721709053">
    <w:abstractNumId w:val="10"/>
  </w:num>
  <w:num w:numId="20" w16cid:durableId="1156603424">
    <w:abstractNumId w:val="1"/>
  </w:num>
  <w:num w:numId="21" w16cid:durableId="218522088">
    <w:abstractNumId w:val="5"/>
  </w:num>
  <w:num w:numId="22" w16cid:durableId="1556234257">
    <w:abstractNumId w:val="8"/>
  </w:num>
  <w:num w:numId="23" w16cid:durableId="2135437103">
    <w:abstractNumId w:val="6"/>
  </w:num>
  <w:num w:numId="24" w16cid:durableId="391082402">
    <w:abstractNumId w:val="22"/>
  </w:num>
  <w:num w:numId="25" w16cid:durableId="1650746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1901"/>
    <w:rsid w:val="00465834"/>
    <w:rsid w:val="00496471"/>
    <w:rsid w:val="004973FA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73925"/>
    <w:rsid w:val="00790C4A"/>
    <w:rsid w:val="007A3F23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Cooper, Kelsey (Volpe)</cp:lastModifiedBy>
  <cp:revision>2</cp:revision>
  <cp:lastPrinted>2011-10-24T17:52:00Z</cp:lastPrinted>
  <dcterms:created xsi:type="dcterms:W3CDTF">2023-01-13T14:13:00Z</dcterms:created>
  <dcterms:modified xsi:type="dcterms:W3CDTF">2023-01-13T14:13:00Z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