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318CEB92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25238F">
        <w:rPr>
          <w:rFonts w:ascii="Arial" w:hAnsi="Arial" w:cs="Arial"/>
          <w:sz w:val="24"/>
          <w:szCs w:val="24"/>
        </w:rPr>
        <w:t>8/8/2022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27B94C46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>) (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5A60D503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08B59628" w:rsidR="00551D8A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36"/>
                <w:szCs w:val="36"/>
              </w:rPr>
              <w:t>X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7A65A5B6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3CD85279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041"/>
        <w:gridCol w:w="5640"/>
        <w:gridCol w:w="240"/>
      </w:tblGrid>
      <w:tr w:rsidR="00874EF7" w:rsidRPr="00EA36A7" w14:paraId="08AB9526" w14:textId="77777777" w:rsidTr="003441BB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5F456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640" w:type="dxa"/>
            <w:shd w:val="pct15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pct15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03441BB">
        <w:trPr>
          <w:trHeight w:val="2800"/>
        </w:trPr>
        <w:tc>
          <w:tcPr>
            <w:tcW w:w="5041" w:type="dxa"/>
          </w:tcPr>
          <w:p w14:paraId="398594BE" w14:textId="2B44BA36" w:rsidR="00E620B9" w:rsidRPr="000C4D70" w:rsidRDefault="007A697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 xml:space="preserve">The current 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0C4D70">
              <w:rPr>
                <w:rFonts w:ascii="Arial" w:hAnsi="Arial" w:cs="Arial"/>
                <w:sz w:val="20"/>
                <w:szCs w:val="20"/>
              </w:rPr>
              <w:t xml:space="preserve">budget for new projects is </w:t>
            </w:r>
          </w:p>
          <w:p w14:paraId="0A0B6A18" w14:textId="17E9C042" w:rsidR="00A8489E" w:rsidRDefault="0055006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$489,697</w:t>
            </w:r>
          </w:p>
          <w:p w14:paraId="3F60DE47" w14:textId="77777777" w:rsidR="00A8489E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FE02A9" w14:textId="370EBCB1" w:rsidR="00A8489E" w:rsidRDefault="0050380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>$</w:t>
            </w:r>
            <w:r w:rsidR="00EA58A6" w:rsidRPr="00D81E51">
              <w:rPr>
                <w:rFonts w:ascii="Arial" w:hAnsi="Arial" w:cs="Arial"/>
                <w:sz w:val="20"/>
                <w:szCs w:val="20"/>
              </w:rPr>
              <w:t>33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7,000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of that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funds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recently </w:t>
            </w:r>
            <w:r w:rsidR="00EA58A6"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711A5A5F" w14:textId="0520518D" w:rsidR="00A8489E" w:rsidRDefault="00EA58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previous project account</w:t>
            </w:r>
            <w:r w:rsidR="00A8489E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string. There is </w:t>
            </w:r>
          </w:p>
          <w:p w14:paraId="3E414050" w14:textId="1D306441" w:rsidR="00A8489E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D81E51">
              <w:rPr>
                <w:rFonts w:ascii="Arial" w:hAnsi="Arial" w:cs="Arial"/>
                <w:sz w:val="20"/>
                <w:szCs w:val="20"/>
              </w:rPr>
              <w:t>1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71,000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more that could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potentially be </w:t>
            </w:r>
            <w:r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133577BC" w14:textId="53B47D90" w:rsidR="003441BB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into the current account.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1D2A8" w14:textId="77777777" w:rsidR="00161374" w:rsidRDefault="0016137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DC2CD6" w14:textId="77777777" w:rsidR="00DF2127" w:rsidRDefault="00DF2127" w:rsidP="00DF2127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 h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as been </w:t>
            </w:r>
            <w:r w:rsidR="005F1DEC" w:rsidRPr="005F4561">
              <w:rPr>
                <w:rFonts w:ascii="Arial" w:hAnsi="Arial" w:cs="Arial"/>
                <w:sz w:val="20"/>
                <w:szCs w:val="20"/>
              </w:rPr>
              <w:t>reserved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 for th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Understanding     Managed Lanes Facilities Attractiveness and</w:t>
            </w:r>
          </w:p>
          <w:p w14:paraId="78C7692B" w14:textId="13C2928F" w:rsidR="00A71198" w:rsidRP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Consumer Choice project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524F056" w14:textId="77777777" w:rsidR="00A71198" w:rsidRDefault="00A71198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C38098" w14:textId="151A831F" w:rsidR="00DF2127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$150,000 has been reserved</w:t>
            </w:r>
          </w:p>
          <w:p w14:paraId="6455A5E1" w14:textId="77777777" w:rsidR="00DF2127" w:rsidRDefault="00DF2127" w:rsidP="00DF2127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of Data to Inform Managed Lanes </w:t>
            </w:r>
          </w:p>
          <w:p w14:paraId="5609A065" w14:textId="77777777" w:rsid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>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project. </w:t>
            </w:r>
          </w:p>
          <w:p w14:paraId="2317CDF4" w14:textId="77777777" w:rsidR="00A71198" w:rsidRDefault="00A71198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9CC93" w14:textId="77777777" w:rsid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$214,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697 plus any new contributions remain available </w:t>
            </w:r>
          </w:p>
          <w:p w14:paraId="39DAE4E6" w14:textId="1E9B7295" w:rsidR="00CD23E6" w:rsidRPr="00A71198" w:rsidRDefault="00A71198" w:rsidP="00CD23E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new projects.  </w:t>
            </w:r>
          </w:p>
        </w:tc>
        <w:tc>
          <w:tcPr>
            <w:tcW w:w="5640" w:type="dxa"/>
          </w:tcPr>
          <w:p w14:paraId="1D8C0F38" w14:textId="77777777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B9809E" w14:textId="290E19BB" w:rsidR="008B2F0D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$152,420 for the Managed Lane Compliance project</w:t>
            </w:r>
            <w:r w:rsidR="000432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35CF53" w14:textId="77777777" w:rsidR="0055006B" w:rsidRDefault="0055006B" w:rsidP="00551D8A">
            <w:pPr>
              <w:ind w:right="-720"/>
            </w:pPr>
          </w:p>
          <w:p w14:paraId="21308BA5" w14:textId="0513849D" w:rsidR="00971287" w:rsidRPr="00EA36A7" w:rsidRDefault="0055006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71198">
              <w:rPr>
                <w:rFonts w:ascii="Arial" w:hAnsi="Arial" w:cs="Arial"/>
                <w:sz w:val="20"/>
                <w:szCs w:val="20"/>
              </w:rPr>
              <w:t>$199, 016 for the TDM project</w:t>
            </w: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0018895" w14:textId="77777777" w:rsidR="004F6B95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14:paraId="75E189C0" w14:textId="77777777" w:rsidR="00C67D6D" w:rsidRPr="00EA36A7" w:rsidRDefault="004F6B95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14:paraId="686E91D8" w14:textId="77777777" w:rsidR="00C67D6D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DF87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292B845" w14:textId="17523649" w:rsidR="00917B7A" w:rsidRDefault="00917B7A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61">
              <w:rPr>
                <w:rFonts w:ascii="Arial" w:hAnsi="Arial" w:cs="Arial"/>
                <w:sz w:val="20"/>
                <w:szCs w:val="20"/>
              </w:rPr>
              <w:t>Refund amounts for each active State are:</w:t>
            </w:r>
          </w:p>
          <w:p w14:paraId="47F940A5" w14:textId="6D73B371" w:rsidR="008856C9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complete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($337k Total)</w:t>
            </w:r>
            <w:r>
              <w:rPr>
                <w:rFonts w:ascii="Arial" w:hAnsi="Arial" w:cs="Arial"/>
                <w:sz w:val="20"/>
                <w:szCs w:val="20"/>
              </w:rPr>
              <w:t>: GA - $130 K, MN - $119 K, WA - $88 K</w:t>
            </w:r>
          </w:p>
          <w:p w14:paraId="51B3CF0F" w14:textId="54FD16CC" w:rsidR="00917B7A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($171k Total)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>CA - $75 K, FL - $2</w:t>
            </w:r>
            <w:r w:rsidR="00043244">
              <w:rPr>
                <w:rFonts w:ascii="Arial" w:hAnsi="Arial" w:cs="Arial"/>
                <w:sz w:val="20"/>
                <w:szCs w:val="20"/>
              </w:rPr>
              <w:t>2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 xml:space="preserve"> K, NY - $51 K, VA - $23 K</w:t>
            </w:r>
          </w:p>
          <w:p w14:paraId="7A1B61CB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1D918072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1ABE21B" w14:textId="77777777" w:rsidR="00F12476" w:rsidRPr="00EA36A7" w:rsidRDefault="00C77E79" w:rsidP="00E62FC7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Transfer of Funds</w:t>
            </w:r>
          </w:p>
          <w:p w14:paraId="19BB8AF3" w14:textId="0CA55377" w:rsidR="00524A19" w:rsidRPr="008856C9" w:rsidRDefault="000B3615" w:rsidP="00606839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rPr>
                <w:rFonts w:ascii="Arial" w:hAnsi="Arial" w:cs="Arial"/>
                <w:sz w:val="20"/>
                <w:szCs w:val="20"/>
              </w:rPr>
              <w:t xml:space="preserve">Transferring funds that were 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returned to the States from the old project number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to the new project number 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continued into </w:t>
            </w:r>
            <w:r>
              <w:rPr>
                <w:rFonts w:ascii="Arial" w:hAnsi="Arial" w:cs="Arial"/>
                <w:sz w:val="20"/>
                <w:szCs w:val="20"/>
              </w:rPr>
              <w:t>this quarter.</w:t>
            </w:r>
          </w:p>
          <w:p w14:paraId="45FBEC21" w14:textId="77777777" w:rsidR="00251D22" w:rsidRDefault="00251D22" w:rsidP="00251D22"/>
          <w:p w14:paraId="3E46E2EB" w14:textId="76743F30" w:rsidR="00251D22" w:rsidRDefault="00251D22" w:rsidP="00251D22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and Initialization of New Projects</w:t>
            </w:r>
          </w:p>
          <w:p w14:paraId="48EE14CB" w14:textId="00566490" w:rsidR="00251D22" w:rsidRPr="008019D4" w:rsidRDefault="008019D4" w:rsidP="00251D22">
            <w:pPr>
              <w:pStyle w:val="ListParagraph"/>
              <w:numPr>
                <w:ilvl w:val="0"/>
                <w:numId w:val="22"/>
              </w:numPr>
            </w:pPr>
            <w:r>
              <w:t xml:space="preserve">An initial draft of the </w:t>
            </w:r>
            <w:r w:rsidRPr="008019D4">
              <w:rPr>
                <w:i/>
                <w:iCs/>
              </w:rPr>
              <w:t xml:space="preserve">Use of Data to Inform Managed Lanes Operational Decisions </w:t>
            </w:r>
            <w:r>
              <w:t>project SOW was shared with the sponsor on June 7</w:t>
            </w:r>
            <w:r w:rsidRPr="008019D4">
              <w:rPr>
                <w:vertAlign w:val="superscript"/>
              </w:rPr>
              <w:t>th</w:t>
            </w:r>
            <w:r>
              <w:rPr>
                <w:vertAlign w:val="superscript"/>
              </w:rPr>
              <w:t>.</w:t>
            </w:r>
          </w:p>
          <w:p w14:paraId="47B6FE37" w14:textId="66C8FC12" w:rsidR="00251D22" w:rsidRPr="00251D22" w:rsidRDefault="008019D4" w:rsidP="00527A51">
            <w:pPr>
              <w:pStyle w:val="ListParagraph"/>
              <w:numPr>
                <w:ilvl w:val="0"/>
                <w:numId w:val="22"/>
              </w:numPr>
            </w:pPr>
            <w:r>
              <w:t xml:space="preserve">An initial draft of the </w:t>
            </w:r>
            <w:r w:rsidRPr="008019D4">
              <w:rPr>
                <w:i/>
                <w:iCs/>
              </w:rPr>
              <w:t xml:space="preserve">Facilities Attractiveness and Consumer Choice </w:t>
            </w:r>
            <w:r>
              <w:t>project SOW was shared with the sponsor on May 18</w:t>
            </w:r>
            <w:r w:rsidRPr="008019D4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. </w:t>
            </w:r>
          </w:p>
          <w:p w14:paraId="351B70E8" w14:textId="77777777" w:rsidR="000B3615" w:rsidRPr="000B3615" w:rsidRDefault="000B3615" w:rsidP="008019D4"/>
          <w:p w14:paraId="2778C202" w14:textId="5802FB5E" w:rsidR="006208EC" w:rsidRDefault="006208EC" w:rsidP="006208EC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1B4152E8" w:rsidR="00DB08BB" w:rsidRPr="0072310A" w:rsidRDefault="00FE502B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027465F">
              <w:rPr>
                <w:rFonts w:ascii="Arial" w:hAnsi="Arial" w:cs="Arial"/>
                <w:sz w:val="20"/>
                <w:szCs w:val="20"/>
              </w:rPr>
              <w:t>The</w:t>
            </w:r>
            <w:r w:rsidR="00C47933" w:rsidRPr="00274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933"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Public Information for Emerging Technologies for Managed Lane</w:t>
            </w:r>
            <w:r w:rsidR="0066385F"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research project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07D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>been completed to final draft stage</w:t>
            </w:r>
            <w:r w:rsidR="00DC5DE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>is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await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>ing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final approval</w:t>
            </w:r>
            <w:r w:rsidR="002746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1654F1" w14:textId="77777777" w:rsidR="0072310A" w:rsidRPr="0072310A" w:rsidRDefault="0072310A" w:rsidP="0072310A">
            <w:pPr>
              <w:pStyle w:val="ListParagraph"/>
              <w:ind w:right="90"/>
            </w:pPr>
          </w:p>
          <w:p w14:paraId="4D9A8F73" w14:textId="3611889B" w:rsidR="0072310A" w:rsidRPr="0072310A" w:rsidRDefault="0072310A" w:rsidP="0072310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D9180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Managed Lane Compliance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 research project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continued. </w:t>
            </w:r>
            <w:r w:rsidRPr="0072310A">
              <w:rPr>
                <w:rFonts w:ascii="Arial" w:hAnsi="Arial" w:cs="Arial"/>
                <w:sz w:val="20"/>
                <w:szCs w:val="20"/>
              </w:rPr>
              <w:t xml:space="preserve">Leidos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delivered </w:t>
            </w:r>
            <w:r w:rsidRPr="0072310A">
              <w:rPr>
                <w:rFonts w:ascii="Arial" w:hAnsi="Arial" w:cs="Arial"/>
                <w:sz w:val="20"/>
                <w:szCs w:val="20"/>
              </w:rPr>
              <w:t>a draft synthesis report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C2FA46" w14:textId="77777777" w:rsidR="0027465F" w:rsidRDefault="0027465F" w:rsidP="00251D22">
            <w:pPr>
              <w:ind w:right="90"/>
            </w:pPr>
          </w:p>
          <w:p w14:paraId="5EE1E140" w14:textId="59D45AE8" w:rsidR="00625437" w:rsidRDefault="0056590C" w:rsidP="001F5D4F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Quarterly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Meeting</w:t>
            </w:r>
          </w:p>
          <w:p w14:paraId="2DC2F7ED" w14:textId="1DAE843A" w:rsidR="000B3615" w:rsidRPr="000B3615" w:rsidRDefault="006208EC" w:rsidP="000B3615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16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quarterly 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r w:rsidR="00161374">
              <w:rPr>
                <w:rFonts w:ascii="Arial" w:hAnsi="Arial" w:cs="Arial"/>
                <w:sz w:val="20"/>
                <w:szCs w:val="20"/>
              </w:rPr>
              <w:t xml:space="preserve">took place 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251D22">
              <w:rPr>
                <w:rFonts w:ascii="Arial" w:hAnsi="Arial" w:cs="Arial"/>
                <w:sz w:val="20"/>
                <w:szCs w:val="20"/>
              </w:rPr>
              <w:t>May 9</w:t>
            </w:r>
            <w:r w:rsidR="0056590C" w:rsidRPr="0056590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6590C">
              <w:rPr>
                <w:rFonts w:ascii="Arial" w:hAnsi="Arial" w:cs="Arial"/>
                <w:sz w:val="20"/>
                <w:szCs w:val="20"/>
              </w:rPr>
              <w:t>,</w:t>
            </w:r>
            <w:r w:rsidR="00CB777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CB777E">
              <w:rPr>
                <w:rFonts w:ascii="Arial" w:hAnsi="Arial" w:cs="Arial"/>
                <w:sz w:val="20"/>
                <w:szCs w:val="20"/>
              </w:rPr>
              <w:t xml:space="preserve">during which </w:t>
            </w:r>
            <w:r w:rsidR="0056590C">
              <w:rPr>
                <w:rFonts w:ascii="Arial" w:hAnsi="Arial" w:cs="Arial"/>
                <w:sz w:val="20"/>
                <w:szCs w:val="20"/>
              </w:rPr>
              <w:t>ongoing research projects presented to participants and participants shared updates</w:t>
            </w:r>
            <w:r w:rsidR="00CB777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B3615">
              <w:rPr>
                <w:rFonts w:ascii="Arial" w:hAnsi="Arial" w:cs="Arial"/>
                <w:sz w:val="20"/>
                <w:szCs w:val="20"/>
              </w:rPr>
              <w:t xml:space="preserve">Notes were shared with </w:t>
            </w:r>
            <w:r w:rsidR="00251D22">
              <w:rPr>
                <w:rFonts w:ascii="Arial" w:hAnsi="Arial" w:cs="Arial"/>
                <w:sz w:val="20"/>
                <w:szCs w:val="20"/>
              </w:rPr>
              <w:t>t</w:t>
            </w:r>
            <w:r w:rsidR="000B3615">
              <w:rPr>
                <w:rFonts w:ascii="Arial" w:hAnsi="Arial" w:cs="Arial"/>
                <w:sz w:val="20"/>
                <w:szCs w:val="20"/>
              </w:rPr>
              <w:t>he sponsor on</w:t>
            </w:r>
            <w:r w:rsidR="00251D22">
              <w:rPr>
                <w:rFonts w:ascii="Arial" w:hAnsi="Arial" w:cs="Arial"/>
                <w:sz w:val="20"/>
                <w:szCs w:val="20"/>
              </w:rPr>
              <w:t xml:space="preserve"> June 7</w:t>
            </w:r>
            <w:r w:rsidR="00251D22" w:rsidRPr="00251D2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51D2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B36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3C6E8D" w14:textId="77777777" w:rsidR="001F5D4F" w:rsidRDefault="001F5D4F" w:rsidP="001F5D4F"/>
          <w:p w14:paraId="5A6A043E" w14:textId="77777777" w:rsidR="005445F5" w:rsidRDefault="005445F5" w:rsidP="001F5D4F"/>
          <w:p w14:paraId="1B13A4D3" w14:textId="7BFBA613" w:rsidR="00D9161A" w:rsidRDefault="00D9161A" w:rsidP="001F5D4F"/>
          <w:p w14:paraId="001F1833" w14:textId="43F00237" w:rsidR="00292C2E" w:rsidRDefault="00292C2E" w:rsidP="001F5D4F"/>
          <w:p w14:paraId="6991DFD5" w14:textId="1C44CD2A" w:rsidR="00292C2E" w:rsidRDefault="00292C2E" w:rsidP="001F5D4F"/>
          <w:p w14:paraId="167F957C" w14:textId="379665A1" w:rsidR="00292C2E" w:rsidRDefault="00292C2E" w:rsidP="001F5D4F"/>
          <w:p w14:paraId="1FC59214" w14:textId="7981D2C4" w:rsidR="00292C2E" w:rsidRDefault="00292C2E" w:rsidP="001F5D4F"/>
          <w:p w14:paraId="047FB0AD" w14:textId="77777777" w:rsidR="00292C2E" w:rsidRDefault="00292C2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1D918072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7DA3F7" w14:textId="21833D6E" w:rsidR="00152D00" w:rsidRDefault="008019D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next annual meeting is tentatively scheduled to be held in person from November 8-9</w:t>
            </w:r>
            <w:r w:rsidRPr="008019D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at the USDOT Volpe Center.</w:t>
            </w:r>
          </w:p>
          <w:p w14:paraId="42D8721A" w14:textId="049E1612" w:rsidR="00292C2E" w:rsidRDefault="00292C2E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FC15867" w14:textId="54077716" w:rsidR="00292C2E" w:rsidRPr="00292C2E" w:rsidRDefault="00292C2E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Revision of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of Data to Inform Managed Lanes Operational Decisions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Facilities Attractiveness and Consumer Choice </w:t>
            </w:r>
            <w:r>
              <w:rPr>
                <w:rFonts w:ascii="Arial" w:hAnsi="Arial" w:cs="Arial"/>
                <w:sz w:val="20"/>
                <w:szCs w:val="20"/>
              </w:rPr>
              <w:t xml:space="preserve">draft SOWs. </w:t>
            </w:r>
          </w:p>
          <w:p w14:paraId="5C3990C0" w14:textId="77777777" w:rsidR="00161374" w:rsidRDefault="0016137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94F2BE3" w14:textId="2439E602" w:rsidR="00E40F95" w:rsidRPr="00FC76B7" w:rsidRDefault="00E40F95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FC76B7">
              <w:rPr>
                <w:rFonts w:ascii="Arial" w:hAnsi="Arial" w:cs="Arial"/>
                <w:sz w:val="20"/>
                <w:szCs w:val="20"/>
              </w:rPr>
              <w:t>The USDOT Volpe Center will begin storing previous report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documents</w:t>
            </w:r>
            <w:r w:rsidRPr="00FC76B7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FHWA </w:t>
            </w:r>
            <w:r w:rsidRPr="00FC76B7">
              <w:rPr>
                <w:rFonts w:ascii="Arial" w:hAnsi="Arial" w:cs="Arial"/>
                <w:sz w:val="20"/>
                <w:szCs w:val="20"/>
              </w:rPr>
              <w:t>pooled fund website.</w:t>
            </w:r>
          </w:p>
          <w:p w14:paraId="5D53616E" w14:textId="77777777" w:rsidR="00E40F95" w:rsidRDefault="00E40F95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62FCDF94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twenty</w:t>
            </w:r>
            <w:r w:rsidR="00845AE2">
              <w:rPr>
                <w:rFonts w:ascii="Arial" w:hAnsi="Arial" w:cs="Arial"/>
                <w:sz w:val="20"/>
                <w:szCs w:val="20"/>
              </w:rPr>
              <w:t>-</w:t>
            </w:r>
            <w:r w:rsidR="00EA36A7">
              <w:rPr>
                <w:rFonts w:ascii="Arial" w:hAnsi="Arial" w:cs="Arial"/>
                <w:sz w:val="20"/>
                <w:szCs w:val="20"/>
              </w:rPr>
              <w:t>eight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A71198">
              <w:rPr>
                <w:rFonts w:ascii="Arial" w:hAnsi="Arial" w:cs="Arial"/>
                <w:sz w:val="20"/>
                <w:szCs w:val="20"/>
              </w:rPr>
              <w:t>29)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1414D480" w:rsidR="00EE4571" w:rsidRPr="00DB08BB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</w:t>
            </w:r>
            <w:r w:rsidR="00505314">
              <w:rPr>
                <w:rFonts w:ascii="Arial" w:hAnsi="Arial" w:cs="Arial"/>
                <w:sz w:val="20"/>
                <w:szCs w:val="20"/>
              </w:rPr>
              <w:t>e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 are two </w:t>
            </w:r>
            <w:r w:rsidR="00505314">
              <w:rPr>
                <w:rFonts w:ascii="Arial" w:hAnsi="Arial" w:cs="Arial"/>
                <w:sz w:val="20"/>
                <w:szCs w:val="20"/>
              </w:rPr>
              <w:t>additional project</w:t>
            </w:r>
            <w:r w:rsidR="00A71198">
              <w:rPr>
                <w:rFonts w:ascii="Arial" w:hAnsi="Arial" w:cs="Arial"/>
                <w:sz w:val="20"/>
                <w:szCs w:val="20"/>
              </w:rPr>
              <w:t>s</w:t>
            </w:r>
            <w:r w:rsidR="00505314">
              <w:rPr>
                <w:rFonts w:ascii="Arial" w:hAnsi="Arial" w:cs="Arial"/>
                <w:sz w:val="20"/>
                <w:szCs w:val="20"/>
              </w:rPr>
              <w:t xml:space="preserve"> preparing to be let for</w:t>
            </w:r>
            <w:r w:rsidR="00FE502B" w:rsidRPr="0066385F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50531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7A9734DE" w:rsidR="00C62E11" w:rsidRPr="0023183C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up to </w:t>
            </w:r>
            <w:r w:rsidRPr="0023183C">
              <w:rPr>
                <w:rFonts w:ascii="Arial" w:hAnsi="Arial" w:cs="Arial"/>
                <w:sz w:val="20"/>
                <w:szCs w:val="20"/>
              </w:rPr>
              <w:t>$</w:t>
            </w:r>
            <w:r w:rsidR="00A71198">
              <w:rPr>
                <w:rFonts w:ascii="Arial" w:hAnsi="Arial" w:cs="Arial"/>
                <w:sz w:val="20"/>
                <w:szCs w:val="20"/>
              </w:rPr>
              <w:t>489,697.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40250A16" w:rsidR="00E35E0F" w:rsidRPr="00FB7DC7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A71198">
              <w:rPr>
                <w:rFonts w:ascii="Arial" w:hAnsi="Arial" w:cs="Arial"/>
                <w:sz w:val="20"/>
                <w:szCs w:val="20"/>
              </w:rPr>
              <w:t>two new research projects. T</w:t>
            </w:r>
            <w:r w:rsidR="00161374">
              <w:rPr>
                <w:rFonts w:ascii="Arial" w:hAnsi="Arial" w:cs="Arial"/>
                <w:sz w:val="20"/>
                <w:szCs w:val="20"/>
              </w:rPr>
              <w:t>wo new projects were selected by the pooled fund during the 2021 annual meeting.</w:t>
            </w:r>
            <w:r w:rsidR="000B3615">
              <w:rPr>
                <w:rFonts w:ascii="Arial" w:hAnsi="Arial" w:cs="Arial"/>
                <w:sz w:val="20"/>
                <w:szCs w:val="20"/>
              </w:rPr>
              <w:t xml:space="preserve"> The SOWs for those two projects are being </w:t>
            </w:r>
            <w:r w:rsidR="00A71198">
              <w:rPr>
                <w:rFonts w:ascii="Arial" w:hAnsi="Arial" w:cs="Arial"/>
                <w:sz w:val="20"/>
                <w:szCs w:val="20"/>
              </w:rPr>
              <w:t>finalized.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A6B4" w14:textId="77777777" w:rsidR="00DC50BD" w:rsidRDefault="00DC50BD" w:rsidP="00106C83">
      <w:pPr>
        <w:spacing w:after="0" w:line="240" w:lineRule="auto"/>
      </w:pPr>
      <w:r>
        <w:separator/>
      </w:r>
    </w:p>
  </w:endnote>
  <w:endnote w:type="continuationSeparator" w:id="0">
    <w:p w14:paraId="21977EBC" w14:textId="77777777" w:rsidR="00DC50BD" w:rsidRDefault="00DC50BD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BA92" w14:textId="77777777" w:rsidR="00DC50BD" w:rsidRDefault="00DC50BD" w:rsidP="00106C83">
      <w:pPr>
        <w:spacing w:after="0" w:line="240" w:lineRule="auto"/>
      </w:pPr>
      <w:r>
        <w:separator/>
      </w:r>
    </w:p>
  </w:footnote>
  <w:footnote w:type="continuationSeparator" w:id="0">
    <w:p w14:paraId="4364CB1E" w14:textId="77777777" w:rsidR="00DC50BD" w:rsidRDefault="00DC50BD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23A" w14:textId="7DA56A90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4030828">
    <w:abstractNumId w:val="21"/>
  </w:num>
  <w:num w:numId="2" w16cid:durableId="292642011">
    <w:abstractNumId w:val="17"/>
  </w:num>
  <w:num w:numId="3" w16cid:durableId="1049257312">
    <w:abstractNumId w:val="9"/>
  </w:num>
  <w:num w:numId="4" w16cid:durableId="1438335045">
    <w:abstractNumId w:val="11"/>
  </w:num>
  <w:num w:numId="5" w16cid:durableId="668677177">
    <w:abstractNumId w:val="15"/>
  </w:num>
  <w:num w:numId="6" w16cid:durableId="1422796861">
    <w:abstractNumId w:val="19"/>
  </w:num>
  <w:num w:numId="7" w16cid:durableId="971250126">
    <w:abstractNumId w:val="23"/>
  </w:num>
  <w:num w:numId="8" w16cid:durableId="893933828">
    <w:abstractNumId w:val="4"/>
  </w:num>
  <w:num w:numId="9" w16cid:durableId="103431160">
    <w:abstractNumId w:val="24"/>
  </w:num>
  <w:num w:numId="10" w16cid:durableId="1447232768">
    <w:abstractNumId w:val="2"/>
  </w:num>
  <w:num w:numId="11" w16cid:durableId="648174587">
    <w:abstractNumId w:val="14"/>
  </w:num>
  <w:num w:numId="12" w16cid:durableId="335349790">
    <w:abstractNumId w:val="18"/>
  </w:num>
  <w:num w:numId="13" w16cid:durableId="42291864">
    <w:abstractNumId w:val="0"/>
  </w:num>
  <w:num w:numId="14" w16cid:durableId="1687518879">
    <w:abstractNumId w:val="7"/>
  </w:num>
  <w:num w:numId="15" w16cid:durableId="2130202695">
    <w:abstractNumId w:val="13"/>
  </w:num>
  <w:num w:numId="16" w16cid:durableId="179857553">
    <w:abstractNumId w:val="20"/>
  </w:num>
  <w:num w:numId="17" w16cid:durableId="657655252">
    <w:abstractNumId w:val="3"/>
  </w:num>
  <w:num w:numId="18" w16cid:durableId="755587961">
    <w:abstractNumId w:val="16"/>
  </w:num>
  <w:num w:numId="19" w16cid:durableId="486019060">
    <w:abstractNumId w:val="10"/>
  </w:num>
  <w:num w:numId="20" w16cid:durableId="1430470039">
    <w:abstractNumId w:val="1"/>
  </w:num>
  <w:num w:numId="21" w16cid:durableId="777145499">
    <w:abstractNumId w:val="5"/>
  </w:num>
  <w:num w:numId="22" w16cid:durableId="149759278">
    <w:abstractNumId w:val="8"/>
  </w:num>
  <w:num w:numId="23" w16cid:durableId="2016955625">
    <w:abstractNumId w:val="6"/>
  </w:num>
  <w:num w:numId="24" w16cid:durableId="1619339780">
    <w:abstractNumId w:val="22"/>
  </w:num>
  <w:num w:numId="25" w16cid:durableId="1260481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9123F"/>
    <w:rsid w:val="0009609C"/>
    <w:rsid w:val="000B3615"/>
    <w:rsid w:val="000B36F6"/>
    <w:rsid w:val="000B665A"/>
    <w:rsid w:val="000B7689"/>
    <w:rsid w:val="000C4D70"/>
    <w:rsid w:val="000D7647"/>
    <w:rsid w:val="000E4D03"/>
    <w:rsid w:val="00106C83"/>
    <w:rsid w:val="0011242D"/>
    <w:rsid w:val="00125FE7"/>
    <w:rsid w:val="00152D00"/>
    <w:rsid w:val="001547D0"/>
    <w:rsid w:val="00161153"/>
    <w:rsid w:val="00161374"/>
    <w:rsid w:val="00180C5B"/>
    <w:rsid w:val="001A0900"/>
    <w:rsid w:val="001B08F4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41A91"/>
    <w:rsid w:val="002510E5"/>
    <w:rsid w:val="00251D22"/>
    <w:rsid w:val="0025238F"/>
    <w:rsid w:val="0026426B"/>
    <w:rsid w:val="0027465F"/>
    <w:rsid w:val="00292C2E"/>
    <w:rsid w:val="00293FD8"/>
    <w:rsid w:val="002A79C8"/>
    <w:rsid w:val="002F25FD"/>
    <w:rsid w:val="002F2653"/>
    <w:rsid w:val="00307FAE"/>
    <w:rsid w:val="003274B0"/>
    <w:rsid w:val="003441BB"/>
    <w:rsid w:val="00344FF7"/>
    <w:rsid w:val="003452CC"/>
    <w:rsid w:val="0038705A"/>
    <w:rsid w:val="00395C5F"/>
    <w:rsid w:val="003A0187"/>
    <w:rsid w:val="003A2450"/>
    <w:rsid w:val="003B2D0C"/>
    <w:rsid w:val="003D53C4"/>
    <w:rsid w:val="003F248A"/>
    <w:rsid w:val="003F40B4"/>
    <w:rsid w:val="003F70F7"/>
    <w:rsid w:val="004144E6"/>
    <w:rsid w:val="004156B2"/>
    <w:rsid w:val="00427020"/>
    <w:rsid w:val="00435511"/>
    <w:rsid w:val="00437734"/>
    <w:rsid w:val="004455AA"/>
    <w:rsid w:val="00447A95"/>
    <w:rsid w:val="00450206"/>
    <w:rsid w:val="0045547D"/>
    <w:rsid w:val="00465834"/>
    <w:rsid w:val="00496471"/>
    <w:rsid w:val="004E14DC"/>
    <w:rsid w:val="004E22BA"/>
    <w:rsid w:val="004E6596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2E5F"/>
    <w:rsid w:val="006C0180"/>
    <w:rsid w:val="006C1E61"/>
    <w:rsid w:val="006C5F1A"/>
    <w:rsid w:val="00706AFB"/>
    <w:rsid w:val="00707C87"/>
    <w:rsid w:val="00713F31"/>
    <w:rsid w:val="00715CAB"/>
    <w:rsid w:val="0072310A"/>
    <w:rsid w:val="00736863"/>
    <w:rsid w:val="00743C01"/>
    <w:rsid w:val="00745806"/>
    <w:rsid w:val="007575E7"/>
    <w:rsid w:val="00757932"/>
    <w:rsid w:val="00757E27"/>
    <w:rsid w:val="00773925"/>
    <w:rsid w:val="00790C4A"/>
    <w:rsid w:val="007A6973"/>
    <w:rsid w:val="007B5486"/>
    <w:rsid w:val="007D3248"/>
    <w:rsid w:val="007E5BD2"/>
    <w:rsid w:val="008019D4"/>
    <w:rsid w:val="008052F3"/>
    <w:rsid w:val="00814349"/>
    <w:rsid w:val="008341E4"/>
    <w:rsid w:val="008348B7"/>
    <w:rsid w:val="0084578D"/>
    <w:rsid w:val="00845AE2"/>
    <w:rsid w:val="008477A4"/>
    <w:rsid w:val="00872F18"/>
    <w:rsid w:val="00874EF7"/>
    <w:rsid w:val="008856C9"/>
    <w:rsid w:val="00896C42"/>
    <w:rsid w:val="00897686"/>
    <w:rsid w:val="008B2F0D"/>
    <w:rsid w:val="008B4523"/>
    <w:rsid w:val="008C78C7"/>
    <w:rsid w:val="00904F6B"/>
    <w:rsid w:val="00905DAC"/>
    <w:rsid w:val="00917B7A"/>
    <w:rsid w:val="009208A5"/>
    <w:rsid w:val="00932033"/>
    <w:rsid w:val="0094441D"/>
    <w:rsid w:val="00950F1B"/>
    <w:rsid w:val="0095639B"/>
    <w:rsid w:val="00971287"/>
    <w:rsid w:val="00987314"/>
    <w:rsid w:val="009D773E"/>
    <w:rsid w:val="00A26470"/>
    <w:rsid w:val="00A31365"/>
    <w:rsid w:val="00A4288F"/>
    <w:rsid w:val="00A43875"/>
    <w:rsid w:val="00A63677"/>
    <w:rsid w:val="00A71198"/>
    <w:rsid w:val="00A8123F"/>
    <w:rsid w:val="00A82304"/>
    <w:rsid w:val="00A8489E"/>
    <w:rsid w:val="00AA1C6C"/>
    <w:rsid w:val="00AD03FE"/>
    <w:rsid w:val="00AE46B0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C1575"/>
    <w:rsid w:val="00C04DC2"/>
    <w:rsid w:val="00C13753"/>
    <w:rsid w:val="00C26401"/>
    <w:rsid w:val="00C27350"/>
    <w:rsid w:val="00C47933"/>
    <w:rsid w:val="00C62E11"/>
    <w:rsid w:val="00C67D6D"/>
    <w:rsid w:val="00C77E79"/>
    <w:rsid w:val="00C925CF"/>
    <w:rsid w:val="00CA6C1E"/>
    <w:rsid w:val="00CB7217"/>
    <w:rsid w:val="00CB777E"/>
    <w:rsid w:val="00CD23E6"/>
    <w:rsid w:val="00CD7D83"/>
    <w:rsid w:val="00CE5261"/>
    <w:rsid w:val="00D105E5"/>
    <w:rsid w:val="00D21A41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6A4B"/>
    <w:rsid w:val="00DF712F"/>
    <w:rsid w:val="00E00F1F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86038"/>
    <w:rsid w:val="00F92A6B"/>
    <w:rsid w:val="00F96A4F"/>
    <w:rsid w:val="00F97514"/>
    <w:rsid w:val="00FB1DA7"/>
    <w:rsid w:val="00FB42BF"/>
    <w:rsid w:val="00FB55B1"/>
    <w:rsid w:val="00FB6DC7"/>
    <w:rsid w:val="00FB7DC7"/>
    <w:rsid w:val="00FC274C"/>
    <w:rsid w:val="00FC76B7"/>
    <w:rsid w:val="00FE502B"/>
    <w:rsid w:val="00FE69EB"/>
    <w:rsid w:val="00FF27AB"/>
    <w:rsid w:val="00FF32BE"/>
    <w:rsid w:val="1D918072"/>
    <w:rsid w:val="550C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F7D5F41AC44582821BC9E46A7A10" ma:contentTypeVersion="2" ma:contentTypeDescription="Create a new document." ma:contentTypeScope="" ma:versionID="a00ced29b55d289a7f7be76aff8d1653">
  <xsd:schema xmlns:xsd="http://www.w3.org/2001/XMLSchema" xmlns:xs="http://www.w3.org/2001/XMLSchema" xmlns:p="http://schemas.microsoft.com/office/2006/metadata/properties" xmlns:ns2="d0a3198c-b3f7-4fe9-b278-d920ea28cee3" targetNamespace="http://schemas.microsoft.com/office/2006/metadata/properties" ma:root="true" ma:fieldsID="ceffd9f33057cc437a3a9f22d9890f7f" ns2:_="">
    <xsd:import namespace="d0a3198c-b3f7-4fe9-b278-d920ea28c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3198c-b3f7-4fe9-b278-d920ea28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2425E5-7B27-4086-AD6E-9DF34E807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3198c-b3f7-4fe9-b278-d920ea28c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9</cp:revision>
  <cp:lastPrinted>2011-10-24T17:52:00Z</cp:lastPrinted>
  <dcterms:created xsi:type="dcterms:W3CDTF">2022-08-11T13:46:00Z</dcterms:created>
  <dcterms:modified xsi:type="dcterms:W3CDTF">2022-08-11T14:49:00Z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0x010100D8BDF7D5F41AC44582821BC9E46A7A10</vt:lpwstr>
  </property>
</Properties>
</file>