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A376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DC33B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33F9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33F90"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FC6BFA" w:rsidP="0025527E">
            <w:pPr>
              <w:ind w:right="-720"/>
              <w:jc w:val="center"/>
              <w:rPr>
                <w:rFonts w:ascii="Arial" w:hAnsi="Arial" w:cs="Arial"/>
                <w:sz w:val="20"/>
                <w:szCs w:val="20"/>
              </w:rPr>
            </w:pPr>
            <w:r>
              <w:rPr>
                <w:rFonts w:ascii="Arial" w:hAnsi="Arial" w:cs="Arial"/>
                <w:sz w:val="20"/>
                <w:szCs w:val="20"/>
              </w:rPr>
              <w:t>$80,245.39</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t>
      </w:r>
      <w:bookmarkStart w:id="0" w:name="_GoBack"/>
      <w:bookmarkEnd w:id="0"/>
      <w:r>
        <w:rPr>
          <w:rFonts w:ascii="Arial" w:hAnsi="Arial" w:cs="Arial"/>
          <w:sz w:val="20"/>
          <w:szCs w:val="20"/>
        </w:rPr>
        <w:t>ward with announcing the events and putting into place a registration process.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717" w:type="dxa"/>
        <w:tblLook w:val="04A0" w:firstRow="1" w:lastRow="0" w:firstColumn="1" w:lastColumn="0" w:noHBand="0" w:noVBand="1"/>
      </w:tblPr>
      <w:tblGrid>
        <w:gridCol w:w="12531"/>
        <w:gridCol w:w="1186"/>
      </w:tblGrid>
      <w:tr w:rsidR="0052531D" w:rsidRPr="0052531D" w:rsidTr="003D5409">
        <w:trPr>
          <w:trHeight w:val="510"/>
        </w:trPr>
        <w:tc>
          <w:tcPr>
            <w:tcW w:w="12531" w:type="dxa"/>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OCTOBER</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7E3E7D">
              <w:rPr>
                <w:rFonts w:ascii="Calibri" w:eastAsia="Times New Roman" w:hAnsi="Calibri" w:cs="Times New Roman"/>
                <w:b/>
                <w:bCs/>
                <w:color w:val="000000"/>
                <w:sz w:val="28"/>
                <w:szCs w:val="28"/>
              </w:rPr>
              <w:t>DECEMBER</w:t>
            </w:r>
            <w:r w:rsidR="007107A3">
              <w:rPr>
                <w:rFonts w:ascii="Calibri" w:eastAsia="Times New Roman" w:hAnsi="Calibri" w:cs="Times New Roman"/>
                <w:b/>
                <w:bCs/>
                <w:color w:val="000000"/>
                <w:sz w:val="28"/>
                <w:szCs w:val="28"/>
              </w:rPr>
              <w:t xml:space="preserve"> 2016</w:t>
            </w:r>
          </w:p>
          <w:tbl>
            <w:tblPr>
              <w:tblW w:w="8940" w:type="dxa"/>
              <w:tblLook w:val="04A0" w:firstRow="1" w:lastRow="0" w:firstColumn="1" w:lastColumn="0" w:noHBand="0" w:noVBand="1"/>
            </w:tblPr>
            <w:tblGrid>
              <w:gridCol w:w="4780"/>
              <w:gridCol w:w="1560"/>
              <w:gridCol w:w="1280"/>
              <w:gridCol w:w="1320"/>
            </w:tblGrid>
            <w:tr w:rsidR="00540E1D" w:rsidRPr="00540E1D" w:rsidTr="00540E1D">
              <w:trPr>
                <w:trHeight w:val="585"/>
              </w:trPr>
              <w:tc>
                <w:tcPr>
                  <w:tcW w:w="4780" w:type="dxa"/>
                  <w:tcBorders>
                    <w:top w:val="nil"/>
                    <w:left w:val="nil"/>
                    <w:bottom w:val="single" w:sz="8" w:space="0" w:color="auto"/>
                    <w:right w:val="nil"/>
                  </w:tcBorders>
                  <w:shd w:val="clear" w:color="000000" w:fill="C4BD97"/>
                  <w:noWrap/>
                  <w:vAlign w:val="bottom"/>
                  <w:hideMark/>
                </w:tcPr>
                <w:p w:rsidR="00540E1D" w:rsidRPr="00540E1D" w:rsidRDefault="00540E1D" w:rsidP="00540E1D">
                  <w:pPr>
                    <w:spacing w:after="0" w:line="240" w:lineRule="auto"/>
                    <w:rPr>
                      <w:rFonts w:ascii="Calibri" w:eastAsia="Times New Roman" w:hAnsi="Calibri" w:cs="Times New Roman"/>
                      <w:b/>
                      <w:bCs/>
                      <w:color w:val="000000"/>
                    </w:rPr>
                  </w:pPr>
                  <w:r w:rsidRPr="00540E1D">
                    <w:rPr>
                      <w:rFonts w:ascii="Calibri" w:eastAsia="Times New Roman" w:hAnsi="Calibri" w:cs="Times New Roman"/>
                      <w:b/>
                      <w:bCs/>
                      <w:color w:val="000000"/>
                    </w:rPr>
                    <w:t>Presentation Title</w:t>
                  </w:r>
                </w:p>
              </w:tc>
              <w:tc>
                <w:tcPr>
                  <w:tcW w:w="1560" w:type="dxa"/>
                  <w:tcBorders>
                    <w:top w:val="nil"/>
                    <w:left w:val="nil"/>
                    <w:bottom w:val="single" w:sz="8" w:space="0" w:color="auto"/>
                    <w:right w:val="nil"/>
                  </w:tcBorders>
                  <w:shd w:val="clear" w:color="000000" w:fill="C4BD97"/>
                  <w:vAlign w:val="bottom"/>
                  <w:hideMark/>
                </w:tcPr>
                <w:p w:rsidR="00540E1D" w:rsidRPr="00540E1D" w:rsidRDefault="00540E1D" w:rsidP="00540E1D">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Delivery Method</w:t>
                  </w:r>
                </w:p>
              </w:tc>
              <w:tc>
                <w:tcPr>
                  <w:tcW w:w="1280" w:type="dxa"/>
                  <w:tcBorders>
                    <w:top w:val="nil"/>
                    <w:left w:val="nil"/>
                    <w:bottom w:val="single" w:sz="8" w:space="0" w:color="auto"/>
                    <w:right w:val="nil"/>
                  </w:tcBorders>
                  <w:shd w:val="clear" w:color="000000" w:fill="C4BD97"/>
                  <w:noWrap/>
                  <w:vAlign w:val="bottom"/>
                  <w:hideMark/>
                </w:tcPr>
                <w:p w:rsidR="00540E1D" w:rsidRPr="00540E1D" w:rsidRDefault="00540E1D" w:rsidP="00540E1D">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Date</w:t>
                  </w:r>
                </w:p>
              </w:tc>
              <w:tc>
                <w:tcPr>
                  <w:tcW w:w="1320" w:type="dxa"/>
                  <w:tcBorders>
                    <w:top w:val="nil"/>
                    <w:left w:val="nil"/>
                    <w:bottom w:val="single" w:sz="8" w:space="0" w:color="auto"/>
                    <w:right w:val="nil"/>
                  </w:tcBorders>
                  <w:shd w:val="clear" w:color="000000" w:fill="C4BD97"/>
                  <w:noWrap/>
                  <w:vAlign w:val="bottom"/>
                  <w:hideMark/>
                </w:tcPr>
                <w:p w:rsidR="00540E1D" w:rsidRPr="00540E1D" w:rsidRDefault="00540E1D" w:rsidP="00540E1D">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 Attended</w:t>
                  </w:r>
                </w:p>
              </w:tc>
            </w:tr>
            <w:tr w:rsidR="00540E1D" w:rsidRPr="00540E1D" w:rsidTr="00540E1D">
              <w:trPr>
                <w:trHeight w:val="1290"/>
              </w:trPr>
              <w:tc>
                <w:tcPr>
                  <w:tcW w:w="4780" w:type="dxa"/>
                  <w:tcBorders>
                    <w:top w:val="nil"/>
                    <w:left w:val="nil"/>
                    <w:bottom w:val="nil"/>
                    <w:right w:val="nil"/>
                  </w:tcBorders>
                  <w:shd w:val="clear" w:color="000000" w:fill="D8E4BC"/>
                  <w:vAlign w:val="bottom"/>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Use of Travel Time, Travel Time Reliability, and Winter Condition Index Information for Improved Operation of Rural Interstates (MPC Research Presentation)</w:t>
                  </w:r>
                </w:p>
              </w:tc>
              <w:tc>
                <w:tcPr>
                  <w:tcW w:w="156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10/3/2016</w:t>
                  </w:r>
                </w:p>
              </w:tc>
              <w:tc>
                <w:tcPr>
                  <w:tcW w:w="132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24</w:t>
                  </w:r>
                </w:p>
              </w:tc>
            </w:tr>
            <w:tr w:rsidR="00540E1D" w:rsidRPr="00540E1D" w:rsidTr="00540E1D">
              <w:trPr>
                <w:trHeight w:val="390"/>
              </w:trPr>
              <w:tc>
                <w:tcPr>
                  <w:tcW w:w="4780" w:type="dxa"/>
                  <w:tcBorders>
                    <w:top w:val="nil"/>
                    <w:left w:val="nil"/>
                    <w:bottom w:val="nil"/>
                    <w:right w:val="nil"/>
                  </w:tcBorders>
                  <w:shd w:val="clear" w:color="auto" w:fill="auto"/>
                  <w:vAlign w:val="bottom"/>
                  <w:hideMark/>
                </w:tcPr>
                <w:p w:rsidR="00540E1D" w:rsidRPr="00540E1D" w:rsidRDefault="00540E1D" w:rsidP="00540E1D">
                  <w:pPr>
                    <w:spacing w:after="0" w:line="240" w:lineRule="auto"/>
                    <w:rPr>
                      <w:rFonts w:ascii="Calibri" w:eastAsia="Times New Roman" w:hAnsi="Calibri" w:cs="Times New Roman"/>
                      <w:color w:val="000000"/>
                    </w:rPr>
                  </w:pPr>
                  <w:proofErr w:type="spellStart"/>
                  <w:r w:rsidRPr="00540E1D">
                    <w:rPr>
                      <w:rFonts w:ascii="Calibri" w:eastAsia="Times New Roman" w:hAnsi="Calibri" w:cs="Times New Roman"/>
                      <w:color w:val="000000"/>
                    </w:rPr>
                    <w:t>Sliplining</w:t>
                  </w:r>
                  <w:proofErr w:type="spellEnd"/>
                  <w:r w:rsidRPr="00540E1D">
                    <w:rPr>
                      <w:rFonts w:ascii="Calibri" w:eastAsia="Times New Roman" w:hAnsi="Calibri" w:cs="Times New Roman"/>
                      <w:color w:val="000000"/>
                    </w:rPr>
                    <w:t xml:space="preserve"> and Other Culvert Repair Options</w:t>
                  </w:r>
                </w:p>
              </w:tc>
              <w:tc>
                <w:tcPr>
                  <w:tcW w:w="156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10/5/2016</w:t>
                  </w:r>
                </w:p>
              </w:tc>
              <w:tc>
                <w:tcPr>
                  <w:tcW w:w="132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98</w:t>
                  </w:r>
                </w:p>
              </w:tc>
            </w:tr>
            <w:tr w:rsidR="00540E1D" w:rsidRPr="00540E1D" w:rsidTr="00540E1D">
              <w:trPr>
                <w:trHeight w:val="630"/>
              </w:trPr>
              <w:tc>
                <w:tcPr>
                  <w:tcW w:w="4780" w:type="dxa"/>
                  <w:tcBorders>
                    <w:top w:val="nil"/>
                    <w:left w:val="nil"/>
                    <w:bottom w:val="nil"/>
                    <w:right w:val="nil"/>
                  </w:tcBorders>
                  <w:shd w:val="clear" w:color="000000" w:fill="D8E4BC"/>
                  <w:vAlign w:val="center"/>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John Maxwell’s “Everyone Communicates, Few Connect”</w:t>
                  </w:r>
                </w:p>
              </w:tc>
              <w:tc>
                <w:tcPr>
                  <w:tcW w:w="156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10/12/2016</w:t>
                  </w:r>
                </w:p>
              </w:tc>
              <w:tc>
                <w:tcPr>
                  <w:tcW w:w="132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52</w:t>
                  </w:r>
                </w:p>
              </w:tc>
            </w:tr>
            <w:tr w:rsidR="00540E1D" w:rsidRPr="00540E1D" w:rsidTr="00540E1D">
              <w:trPr>
                <w:trHeight w:val="675"/>
              </w:trPr>
              <w:tc>
                <w:tcPr>
                  <w:tcW w:w="4780" w:type="dxa"/>
                  <w:tcBorders>
                    <w:top w:val="nil"/>
                    <w:left w:val="nil"/>
                    <w:bottom w:val="nil"/>
                    <w:right w:val="nil"/>
                  </w:tcBorders>
                  <w:shd w:val="clear" w:color="auto" w:fill="auto"/>
                  <w:vAlign w:val="center"/>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Tier IV Emissions, Regeneration &amp; Diesel Exhaust Fluid</w:t>
                  </w:r>
                </w:p>
              </w:tc>
              <w:tc>
                <w:tcPr>
                  <w:tcW w:w="156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10/27/2016</w:t>
                  </w:r>
                </w:p>
              </w:tc>
              <w:tc>
                <w:tcPr>
                  <w:tcW w:w="132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197</w:t>
                  </w:r>
                </w:p>
              </w:tc>
            </w:tr>
            <w:tr w:rsidR="00540E1D" w:rsidRPr="00540E1D" w:rsidTr="00540E1D">
              <w:trPr>
                <w:trHeight w:val="945"/>
              </w:trPr>
              <w:tc>
                <w:tcPr>
                  <w:tcW w:w="4780" w:type="dxa"/>
                  <w:tcBorders>
                    <w:top w:val="nil"/>
                    <w:left w:val="nil"/>
                    <w:bottom w:val="nil"/>
                    <w:right w:val="nil"/>
                  </w:tcBorders>
                  <w:shd w:val="clear" w:color="000000" w:fill="D8E4BC"/>
                  <w:vAlign w:val="center"/>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Implementation of Intelligent Compaction Technologies for Road Construction in Wyoming (MPC Research Presentation)</w:t>
                  </w:r>
                </w:p>
              </w:tc>
              <w:tc>
                <w:tcPr>
                  <w:tcW w:w="156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10/28/2016</w:t>
                  </w:r>
                </w:p>
              </w:tc>
              <w:tc>
                <w:tcPr>
                  <w:tcW w:w="132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50</w:t>
                  </w:r>
                </w:p>
              </w:tc>
            </w:tr>
            <w:tr w:rsidR="00540E1D" w:rsidRPr="00540E1D" w:rsidTr="00540E1D">
              <w:trPr>
                <w:trHeight w:val="390"/>
              </w:trPr>
              <w:tc>
                <w:tcPr>
                  <w:tcW w:w="4780" w:type="dxa"/>
                  <w:tcBorders>
                    <w:top w:val="nil"/>
                    <w:left w:val="nil"/>
                    <w:bottom w:val="nil"/>
                    <w:right w:val="nil"/>
                  </w:tcBorders>
                  <w:shd w:val="clear" w:color="auto" w:fill="auto"/>
                  <w:vAlign w:val="bottom"/>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John Maxwell’s “How to be a REAL Success”</w:t>
                  </w:r>
                </w:p>
              </w:tc>
              <w:tc>
                <w:tcPr>
                  <w:tcW w:w="156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11/17/2016</w:t>
                  </w:r>
                </w:p>
              </w:tc>
              <w:tc>
                <w:tcPr>
                  <w:tcW w:w="1320" w:type="dxa"/>
                  <w:tcBorders>
                    <w:top w:val="nil"/>
                    <w:left w:val="nil"/>
                    <w:bottom w:val="nil"/>
                    <w:right w:val="nil"/>
                  </w:tcBorders>
                  <w:shd w:val="clear" w:color="auto" w:fill="auto"/>
                  <w:noWrap/>
                  <w:vAlign w:val="bottom"/>
                  <w:hideMark/>
                </w:tcPr>
                <w:p w:rsidR="00540E1D" w:rsidRPr="00540E1D" w:rsidRDefault="00540E1D" w:rsidP="00540E1D">
                  <w:pPr>
                    <w:spacing w:after="0" w:line="240" w:lineRule="auto"/>
                    <w:jc w:val="center"/>
                    <w:rPr>
                      <w:rFonts w:ascii="Calibri" w:eastAsia="Times New Roman" w:hAnsi="Calibri" w:cs="Times New Roman"/>
                    </w:rPr>
                  </w:pPr>
                  <w:r w:rsidRPr="00540E1D">
                    <w:rPr>
                      <w:rFonts w:ascii="Calibri" w:eastAsia="Times New Roman" w:hAnsi="Calibri" w:cs="Times New Roman"/>
                    </w:rPr>
                    <w:t>45</w:t>
                  </w:r>
                </w:p>
              </w:tc>
            </w:tr>
            <w:tr w:rsidR="00540E1D" w:rsidRPr="00540E1D" w:rsidTr="00540E1D">
              <w:trPr>
                <w:trHeight w:val="585"/>
              </w:trPr>
              <w:tc>
                <w:tcPr>
                  <w:tcW w:w="4780" w:type="dxa"/>
                  <w:tcBorders>
                    <w:top w:val="nil"/>
                    <w:left w:val="nil"/>
                    <w:bottom w:val="nil"/>
                    <w:right w:val="nil"/>
                  </w:tcBorders>
                  <w:shd w:val="clear" w:color="000000" w:fill="D8E4BC"/>
                  <w:vAlign w:val="bottom"/>
                  <w:hideMark/>
                </w:tcPr>
                <w:p w:rsidR="00540E1D" w:rsidRPr="00540E1D" w:rsidRDefault="00540E1D" w:rsidP="00540E1D">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TC3 PCC Pavement Preservation Series – Joint Sealing &amp; Crack Sealing</w:t>
                  </w:r>
                </w:p>
              </w:tc>
              <w:tc>
                <w:tcPr>
                  <w:tcW w:w="156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11/9/2016</w:t>
                  </w:r>
                </w:p>
              </w:tc>
              <w:tc>
                <w:tcPr>
                  <w:tcW w:w="1320" w:type="dxa"/>
                  <w:tcBorders>
                    <w:top w:val="nil"/>
                    <w:left w:val="nil"/>
                    <w:bottom w:val="nil"/>
                    <w:right w:val="nil"/>
                  </w:tcBorders>
                  <w:shd w:val="clear" w:color="000000" w:fill="D8E4BC"/>
                  <w:noWrap/>
                  <w:vAlign w:val="bottom"/>
                  <w:hideMark/>
                </w:tcPr>
                <w:p w:rsidR="00540E1D" w:rsidRPr="00540E1D" w:rsidRDefault="00540E1D" w:rsidP="00540E1D">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30</w:t>
                  </w:r>
                </w:p>
              </w:tc>
            </w:tr>
            <w:tr w:rsidR="00540E1D" w:rsidRPr="00540E1D" w:rsidTr="00006E6E">
              <w:trPr>
                <w:trHeight w:val="585"/>
              </w:trPr>
              <w:tc>
                <w:tcPr>
                  <w:tcW w:w="4780" w:type="dxa"/>
                  <w:tcBorders>
                    <w:top w:val="nil"/>
                    <w:left w:val="nil"/>
                    <w:bottom w:val="single" w:sz="8" w:space="0" w:color="auto"/>
                    <w:right w:val="nil"/>
                  </w:tcBorders>
                  <w:shd w:val="clear" w:color="auto" w:fill="auto"/>
                  <w:noWrap/>
                  <w:vAlign w:val="bottom"/>
                </w:tcPr>
                <w:p w:rsidR="00540E1D" w:rsidRPr="00540E1D" w:rsidRDefault="00540E1D" w:rsidP="00540E1D">
                  <w:pPr>
                    <w:spacing w:after="0" w:line="240" w:lineRule="auto"/>
                    <w:rPr>
                      <w:rFonts w:ascii="Calibri" w:eastAsia="Times New Roman" w:hAnsi="Calibri" w:cs="Times New Roman"/>
                      <w:b/>
                      <w:bCs/>
                      <w:color w:val="000000"/>
                    </w:rPr>
                  </w:pPr>
                </w:p>
              </w:tc>
              <w:tc>
                <w:tcPr>
                  <w:tcW w:w="1560" w:type="dxa"/>
                  <w:tcBorders>
                    <w:top w:val="nil"/>
                    <w:left w:val="nil"/>
                    <w:bottom w:val="single" w:sz="8" w:space="0" w:color="auto"/>
                    <w:right w:val="nil"/>
                  </w:tcBorders>
                  <w:shd w:val="clear" w:color="auto" w:fill="auto"/>
                  <w:vAlign w:val="bottom"/>
                </w:tcPr>
                <w:p w:rsidR="00540E1D" w:rsidRPr="00540E1D" w:rsidRDefault="00540E1D" w:rsidP="00540E1D">
                  <w:pPr>
                    <w:spacing w:after="0" w:line="240" w:lineRule="auto"/>
                    <w:jc w:val="center"/>
                    <w:rPr>
                      <w:rFonts w:ascii="Calibri" w:eastAsia="Times New Roman" w:hAnsi="Calibri" w:cs="Times New Roman"/>
                      <w:b/>
                      <w:bCs/>
                      <w:color w:val="000000"/>
                    </w:rPr>
                  </w:pPr>
                </w:p>
              </w:tc>
              <w:tc>
                <w:tcPr>
                  <w:tcW w:w="1280" w:type="dxa"/>
                  <w:tcBorders>
                    <w:top w:val="nil"/>
                    <w:left w:val="nil"/>
                    <w:bottom w:val="single" w:sz="8" w:space="0" w:color="auto"/>
                    <w:right w:val="nil"/>
                  </w:tcBorders>
                  <w:shd w:val="clear" w:color="auto" w:fill="auto"/>
                  <w:noWrap/>
                  <w:vAlign w:val="bottom"/>
                </w:tcPr>
                <w:p w:rsidR="00540E1D" w:rsidRPr="00540E1D" w:rsidRDefault="00540E1D" w:rsidP="00540E1D">
                  <w:pPr>
                    <w:spacing w:after="0" w:line="240" w:lineRule="auto"/>
                    <w:jc w:val="center"/>
                    <w:rPr>
                      <w:rFonts w:ascii="Calibri" w:eastAsia="Times New Roman" w:hAnsi="Calibri" w:cs="Times New Roman"/>
                      <w:b/>
                      <w:bCs/>
                      <w:color w:val="000000"/>
                    </w:rPr>
                  </w:pPr>
                </w:p>
              </w:tc>
              <w:tc>
                <w:tcPr>
                  <w:tcW w:w="1320" w:type="dxa"/>
                  <w:tcBorders>
                    <w:top w:val="nil"/>
                    <w:left w:val="nil"/>
                    <w:bottom w:val="single" w:sz="8" w:space="0" w:color="auto"/>
                    <w:right w:val="nil"/>
                  </w:tcBorders>
                  <w:shd w:val="clear" w:color="auto" w:fill="auto"/>
                  <w:noWrap/>
                  <w:vAlign w:val="bottom"/>
                </w:tcPr>
                <w:p w:rsidR="00540E1D" w:rsidRPr="00540E1D" w:rsidRDefault="00540E1D" w:rsidP="00540E1D">
                  <w:pPr>
                    <w:spacing w:after="0" w:line="240" w:lineRule="auto"/>
                    <w:jc w:val="center"/>
                    <w:rPr>
                      <w:rFonts w:ascii="Calibri" w:eastAsia="Times New Roman" w:hAnsi="Calibri" w:cs="Times New Roman"/>
                      <w:b/>
                      <w:bCs/>
                      <w:color w:val="000000"/>
                    </w:rPr>
                  </w:pPr>
                </w:p>
              </w:tc>
            </w:tr>
            <w:tr w:rsidR="00006E6E" w:rsidRPr="00540E1D" w:rsidTr="00540E1D">
              <w:trPr>
                <w:trHeight w:val="585"/>
              </w:trPr>
              <w:tc>
                <w:tcPr>
                  <w:tcW w:w="4780" w:type="dxa"/>
                  <w:tcBorders>
                    <w:top w:val="nil"/>
                    <w:left w:val="nil"/>
                    <w:bottom w:val="single" w:sz="8" w:space="0" w:color="auto"/>
                    <w:right w:val="nil"/>
                  </w:tcBorders>
                  <w:shd w:val="clear" w:color="000000" w:fill="C4BD97"/>
                  <w:noWrap/>
                  <w:vAlign w:val="bottom"/>
                </w:tcPr>
                <w:p w:rsidR="00006E6E" w:rsidRPr="00540E1D" w:rsidRDefault="00006E6E" w:rsidP="00006E6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lastRenderedPageBreak/>
                    <w:br/>
                  </w:r>
                  <w:r w:rsidRPr="00540E1D">
                    <w:rPr>
                      <w:rFonts w:ascii="Calibri" w:eastAsia="Times New Roman" w:hAnsi="Calibri" w:cs="Times New Roman"/>
                      <w:b/>
                      <w:bCs/>
                      <w:color w:val="000000"/>
                    </w:rPr>
                    <w:t>Presentation Title</w:t>
                  </w:r>
                </w:p>
              </w:tc>
              <w:tc>
                <w:tcPr>
                  <w:tcW w:w="1560" w:type="dxa"/>
                  <w:tcBorders>
                    <w:top w:val="nil"/>
                    <w:left w:val="nil"/>
                    <w:bottom w:val="single" w:sz="8" w:space="0" w:color="auto"/>
                    <w:right w:val="nil"/>
                  </w:tcBorders>
                  <w:shd w:val="clear" w:color="000000" w:fill="C4BD97"/>
                  <w:vAlign w:val="bottom"/>
                </w:tcPr>
                <w:p w:rsidR="00006E6E" w:rsidRPr="00540E1D" w:rsidRDefault="00006E6E" w:rsidP="00006E6E">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Delivery Method</w:t>
                  </w:r>
                </w:p>
              </w:tc>
              <w:tc>
                <w:tcPr>
                  <w:tcW w:w="1280" w:type="dxa"/>
                  <w:tcBorders>
                    <w:top w:val="nil"/>
                    <w:left w:val="nil"/>
                    <w:bottom w:val="single" w:sz="8" w:space="0" w:color="auto"/>
                    <w:right w:val="nil"/>
                  </w:tcBorders>
                  <w:shd w:val="clear" w:color="000000" w:fill="C4BD97"/>
                  <w:noWrap/>
                  <w:vAlign w:val="bottom"/>
                </w:tcPr>
                <w:p w:rsidR="00006E6E" w:rsidRPr="00540E1D" w:rsidRDefault="00006E6E" w:rsidP="00006E6E">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Date</w:t>
                  </w:r>
                </w:p>
              </w:tc>
              <w:tc>
                <w:tcPr>
                  <w:tcW w:w="1320" w:type="dxa"/>
                  <w:tcBorders>
                    <w:top w:val="nil"/>
                    <w:left w:val="nil"/>
                    <w:bottom w:val="single" w:sz="8" w:space="0" w:color="auto"/>
                    <w:right w:val="nil"/>
                  </w:tcBorders>
                  <w:shd w:val="clear" w:color="000000" w:fill="C4BD97"/>
                  <w:noWrap/>
                  <w:vAlign w:val="bottom"/>
                </w:tcPr>
                <w:p w:rsidR="00006E6E" w:rsidRPr="00540E1D" w:rsidRDefault="00006E6E" w:rsidP="00006E6E">
                  <w:pPr>
                    <w:spacing w:after="0" w:line="240" w:lineRule="auto"/>
                    <w:jc w:val="center"/>
                    <w:rPr>
                      <w:rFonts w:ascii="Calibri" w:eastAsia="Times New Roman" w:hAnsi="Calibri" w:cs="Times New Roman"/>
                      <w:b/>
                      <w:bCs/>
                      <w:color w:val="000000"/>
                    </w:rPr>
                  </w:pPr>
                  <w:r w:rsidRPr="00540E1D">
                    <w:rPr>
                      <w:rFonts w:ascii="Calibri" w:eastAsia="Times New Roman" w:hAnsi="Calibri" w:cs="Times New Roman"/>
                      <w:b/>
                      <w:bCs/>
                      <w:color w:val="000000"/>
                    </w:rPr>
                    <w:t># Attended</w:t>
                  </w:r>
                </w:p>
              </w:tc>
            </w:tr>
            <w:tr w:rsidR="00006E6E" w:rsidRPr="00540E1D" w:rsidTr="00540E1D">
              <w:trPr>
                <w:trHeight w:val="630"/>
              </w:trPr>
              <w:tc>
                <w:tcPr>
                  <w:tcW w:w="4780" w:type="dxa"/>
                  <w:tcBorders>
                    <w:top w:val="nil"/>
                    <w:left w:val="nil"/>
                    <w:bottom w:val="nil"/>
                    <w:right w:val="nil"/>
                  </w:tcBorders>
                  <w:shd w:val="clear" w:color="auto" w:fill="auto"/>
                  <w:vAlign w:val="center"/>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Writing &amp; Grammar Skills for Today’s Work Environment</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11/16/2016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83</w:t>
                  </w:r>
                </w:p>
              </w:tc>
            </w:tr>
            <w:tr w:rsidR="00006E6E" w:rsidRPr="00540E1D" w:rsidTr="00540E1D">
              <w:trPr>
                <w:trHeight w:val="390"/>
              </w:trPr>
              <w:tc>
                <w:tcPr>
                  <w:tcW w:w="47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Be Safe at Home</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11/22/2016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40</w:t>
                  </w:r>
                </w:p>
              </w:tc>
            </w:tr>
            <w:tr w:rsidR="00006E6E" w:rsidRPr="00540E1D" w:rsidTr="00540E1D">
              <w:trPr>
                <w:trHeight w:val="390"/>
              </w:trPr>
              <w:tc>
                <w:tcPr>
                  <w:tcW w:w="4780" w:type="dxa"/>
                  <w:tcBorders>
                    <w:top w:val="nil"/>
                    <w:left w:val="nil"/>
                    <w:bottom w:val="nil"/>
                    <w:right w:val="nil"/>
                  </w:tcBorders>
                  <w:shd w:val="clear" w:color="auto" w:fill="auto"/>
                  <w:vAlign w:val="center"/>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High Friction Surface Treatment</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11/22/2016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32</w:t>
                  </w:r>
                </w:p>
              </w:tc>
            </w:tr>
            <w:tr w:rsidR="00006E6E" w:rsidRPr="00540E1D" w:rsidTr="00540E1D">
              <w:trPr>
                <w:trHeight w:val="660"/>
              </w:trPr>
              <w:tc>
                <w:tcPr>
                  <w:tcW w:w="4780" w:type="dxa"/>
                  <w:tcBorders>
                    <w:top w:val="nil"/>
                    <w:left w:val="nil"/>
                    <w:bottom w:val="nil"/>
                    <w:right w:val="nil"/>
                  </w:tcBorders>
                  <w:shd w:val="clear" w:color="000000" w:fill="D8E4BC"/>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 xml:space="preserve">Mobile &amp; </w:t>
                  </w:r>
                  <w:proofErr w:type="spellStart"/>
                  <w:r w:rsidRPr="00540E1D">
                    <w:rPr>
                      <w:rFonts w:ascii="Calibri" w:eastAsia="Times New Roman" w:hAnsi="Calibri" w:cs="Times New Roman"/>
                      <w:color w:val="000000"/>
                    </w:rPr>
                    <w:t>Terrestrail</w:t>
                  </w:r>
                  <w:proofErr w:type="spellEnd"/>
                  <w:r w:rsidRPr="00540E1D">
                    <w:rPr>
                      <w:rFonts w:ascii="Calibri" w:eastAsia="Times New Roman" w:hAnsi="Calibri" w:cs="Times New Roman"/>
                      <w:color w:val="000000"/>
                    </w:rPr>
                    <w:t xml:space="preserve"> LiDAR &amp; Effective Use of Point Cloud Data</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11/18/2016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24</w:t>
                  </w:r>
                </w:p>
              </w:tc>
            </w:tr>
            <w:tr w:rsidR="00006E6E" w:rsidRPr="00540E1D" w:rsidTr="00540E1D">
              <w:trPr>
                <w:trHeight w:val="690"/>
              </w:trPr>
              <w:tc>
                <w:tcPr>
                  <w:tcW w:w="4780" w:type="dxa"/>
                  <w:tcBorders>
                    <w:top w:val="nil"/>
                    <w:left w:val="nil"/>
                    <w:bottom w:val="nil"/>
                    <w:right w:val="nil"/>
                  </w:tcBorders>
                  <w:shd w:val="clear" w:color="auto" w:fill="auto"/>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 xml:space="preserve">Negotiation Strategies and Techniques to Improve Construction Project Management </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11/21/2016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15</w:t>
                  </w:r>
                </w:p>
              </w:tc>
            </w:tr>
            <w:tr w:rsidR="00006E6E" w:rsidRPr="00540E1D" w:rsidTr="00540E1D">
              <w:trPr>
                <w:trHeight w:val="390"/>
              </w:trPr>
              <w:tc>
                <w:tcPr>
                  <w:tcW w:w="4780" w:type="dxa"/>
                  <w:tcBorders>
                    <w:top w:val="nil"/>
                    <w:left w:val="nil"/>
                    <w:bottom w:val="nil"/>
                    <w:right w:val="nil"/>
                  </w:tcBorders>
                  <w:shd w:val="clear" w:color="000000" w:fill="D8E4BC"/>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Managing Priorities Through Time Management</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11/29/2016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45</w:t>
                  </w:r>
                </w:p>
              </w:tc>
            </w:tr>
            <w:tr w:rsidR="00006E6E" w:rsidRPr="00540E1D" w:rsidTr="00540E1D">
              <w:trPr>
                <w:trHeight w:val="750"/>
              </w:trPr>
              <w:tc>
                <w:tcPr>
                  <w:tcW w:w="4780" w:type="dxa"/>
                  <w:tcBorders>
                    <w:top w:val="nil"/>
                    <w:left w:val="nil"/>
                    <w:bottom w:val="nil"/>
                    <w:right w:val="nil"/>
                  </w:tcBorders>
                  <w:shd w:val="clear" w:color="auto" w:fill="auto"/>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Manager-Led Team Building: Developing Teams with Vision</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11/29/2016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23</w:t>
                  </w:r>
                </w:p>
              </w:tc>
            </w:tr>
            <w:tr w:rsidR="00006E6E" w:rsidRPr="00540E1D" w:rsidTr="00540E1D">
              <w:trPr>
                <w:trHeight w:val="390"/>
              </w:trPr>
              <w:tc>
                <w:tcPr>
                  <w:tcW w:w="4780" w:type="dxa"/>
                  <w:tcBorders>
                    <w:top w:val="nil"/>
                    <w:left w:val="nil"/>
                    <w:bottom w:val="nil"/>
                    <w:right w:val="nil"/>
                  </w:tcBorders>
                  <w:shd w:val="clear" w:color="000000" w:fill="D8E4BC"/>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State of the Practice &amp; the Future of GPR</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Webinar</w:t>
                  </w:r>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12/1/2016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25</w:t>
                  </w:r>
                </w:p>
              </w:tc>
            </w:tr>
            <w:tr w:rsidR="00006E6E" w:rsidRPr="00540E1D" w:rsidTr="00540E1D">
              <w:trPr>
                <w:trHeight w:val="390"/>
              </w:trPr>
              <w:tc>
                <w:tcPr>
                  <w:tcW w:w="4780" w:type="dxa"/>
                  <w:tcBorders>
                    <w:top w:val="nil"/>
                    <w:left w:val="nil"/>
                    <w:bottom w:val="nil"/>
                    <w:right w:val="nil"/>
                  </w:tcBorders>
                  <w:shd w:val="clear" w:color="auto" w:fill="auto"/>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"How do I Respond to That?</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12/13/2016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94</w:t>
                  </w:r>
                </w:p>
              </w:tc>
            </w:tr>
            <w:tr w:rsidR="00006E6E" w:rsidRPr="00540E1D" w:rsidTr="00540E1D">
              <w:trPr>
                <w:trHeight w:val="390"/>
              </w:trPr>
              <w:tc>
                <w:tcPr>
                  <w:tcW w:w="4780" w:type="dxa"/>
                  <w:tcBorders>
                    <w:top w:val="nil"/>
                    <w:left w:val="nil"/>
                    <w:bottom w:val="nil"/>
                    <w:right w:val="nil"/>
                  </w:tcBorders>
                  <w:shd w:val="clear" w:color="000000" w:fill="D8E4BC"/>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TC3 PPE</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12/15/2016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69</w:t>
                  </w:r>
                </w:p>
              </w:tc>
            </w:tr>
            <w:tr w:rsidR="00006E6E" w:rsidRPr="00540E1D" w:rsidTr="00540E1D">
              <w:trPr>
                <w:trHeight w:val="390"/>
              </w:trPr>
              <w:tc>
                <w:tcPr>
                  <w:tcW w:w="4780" w:type="dxa"/>
                  <w:tcBorders>
                    <w:top w:val="nil"/>
                    <w:left w:val="nil"/>
                    <w:bottom w:val="nil"/>
                    <w:right w:val="nil"/>
                  </w:tcBorders>
                  <w:shd w:val="clear" w:color="auto" w:fill="auto"/>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Leveraging Diversity</w:t>
                  </w:r>
                </w:p>
              </w:tc>
              <w:tc>
                <w:tcPr>
                  <w:tcW w:w="156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12/20/2016</w:t>
                  </w:r>
                </w:p>
              </w:tc>
              <w:tc>
                <w:tcPr>
                  <w:tcW w:w="1320" w:type="dxa"/>
                  <w:tcBorders>
                    <w:top w:val="nil"/>
                    <w:left w:val="nil"/>
                    <w:bottom w:val="nil"/>
                    <w:right w:val="nil"/>
                  </w:tcBorders>
                  <w:shd w:val="clear" w:color="auto" w:fill="auto"/>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41</w:t>
                  </w:r>
                </w:p>
              </w:tc>
            </w:tr>
            <w:tr w:rsidR="00006E6E" w:rsidRPr="00540E1D" w:rsidTr="00540E1D">
              <w:trPr>
                <w:trHeight w:val="390"/>
              </w:trPr>
              <w:tc>
                <w:tcPr>
                  <w:tcW w:w="4780" w:type="dxa"/>
                  <w:tcBorders>
                    <w:top w:val="nil"/>
                    <w:left w:val="nil"/>
                    <w:bottom w:val="nil"/>
                    <w:right w:val="nil"/>
                  </w:tcBorders>
                  <w:shd w:val="clear" w:color="000000" w:fill="D8E4BC"/>
                  <w:vAlign w:val="bottom"/>
                  <w:hideMark/>
                </w:tcPr>
                <w:p w:rsidR="00006E6E" w:rsidRPr="00540E1D" w:rsidRDefault="00006E6E" w:rsidP="00006E6E">
                  <w:pPr>
                    <w:spacing w:after="0" w:line="240" w:lineRule="auto"/>
                    <w:rPr>
                      <w:rFonts w:ascii="Calibri" w:eastAsia="Times New Roman" w:hAnsi="Calibri" w:cs="Times New Roman"/>
                      <w:color w:val="000000"/>
                    </w:rPr>
                  </w:pPr>
                  <w:r w:rsidRPr="00540E1D">
                    <w:rPr>
                      <w:rFonts w:ascii="Calibri" w:eastAsia="Times New Roman" w:hAnsi="Calibri" w:cs="Times New Roman"/>
                      <w:color w:val="000000"/>
                    </w:rPr>
                    <w:t>Snow and Ice Roundtable</w:t>
                  </w:r>
                </w:p>
              </w:tc>
              <w:tc>
                <w:tcPr>
                  <w:tcW w:w="156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 xml:space="preserve">Video </w:t>
                  </w:r>
                  <w:proofErr w:type="spellStart"/>
                  <w:r w:rsidRPr="00540E1D">
                    <w:rPr>
                      <w:rFonts w:ascii="Calibri" w:eastAsia="Times New Roman" w:hAnsi="Calibri" w:cs="Times New Roman"/>
                      <w:color w:val="000000"/>
                    </w:rPr>
                    <w:t>Conf</w:t>
                  </w:r>
                  <w:proofErr w:type="spellEnd"/>
                </w:p>
              </w:tc>
              <w:tc>
                <w:tcPr>
                  <w:tcW w:w="128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color w:val="000000"/>
                    </w:rPr>
                  </w:pPr>
                  <w:r w:rsidRPr="00540E1D">
                    <w:rPr>
                      <w:rFonts w:ascii="Calibri" w:eastAsia="Times New Roman" w:hAnsi="Calibri" w:cs="Times New Roman"/>
                      <w:color w:val="000000"/>
                    </w:rPr>
                    <w:t>12/21/2016</w:t>
                  </w:r>
                </w:p>
              </w:tc>
              <w:tc>
                <w:tcPr>
                  <w:tcW w:w="1320" w:type="dxa"/>
                  <w:tcBorders>
                    <w:top w:val="nil"/>
                    <w:left w:val="nil"/>
                    <w:bottom w:val="nil"/>
                    <w:right w:val="nil"/>
                  </w:tcBorders>
                  <w:shd w:val="clear" w:color="000000" w:fill="D8E4BC"/>
                  <w:noWrap/>
                  <w:vAlign w:val="bottom"/>
                  <w:hideMark/>
                </w:tcPr>
                <w:p w:rsidR="00006E6E" w:rsidRPr="00540E1D" w:rsidRDefault="00006E6E" w:rsidP="00006E6E">
                  <w:pPr>
                    <w:spacing w:after="0" w:line="240" w:lineRule="auto"/>
                    <w:jc w:val="center"/>
                    <w:rPr>
                      <w:rFonts w:ascii="Calibri" w:eastAsia="Times New Roman" w:hAnsi="Calibri" w:cs="Times New Roman"/>
                    </w:rPr>
                  </w:pPr>
                  <w:r w:rsidRPr="00540E1D">
                    <w:rPr>
                      <w:rFonts w:ascii="Calibri" w:eastAsia="Times New Roman" w:hAnsi="Calibri" w:cs="Times New Roman"/>
                    </w:rPr>
                    <w:t>84</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bl>
    <w:p w:rsidR="00AD7A3A" w:rsidRDefault="00AD7A3A" w:rsidP="00685514">
      <w:pPr>
        <w:spacing w:after="0" w:line="240" w:lineRule="auto"/>
        <w:rPr>
          <w:rFonts w:cs="Arial"/>
          <w:b/>
          <w:sz w:val="28"/>
          <w:szCs w:val="20"/>
        </w:rPr>
      </w:pPr>
    </w:p>
    <w:p w:rsidR="00AD7A3A" w:rsidRPr="00AD7A3A" w:rsidRDefault="00540E1D" w:rsidP="00C82B60">
      <w:pPr>
        <w:spacing w:after="0" w:line="240" w:lineRule="auto"/>
        <w:ind w:left="6480" w:firstLine="720"/>
        <w:rPr>
          <w:rFonts w:ascii="Calibri" w:eastAsia="Times New Roman" w:hAnsi="Calibri" w:cs="Times New Roman"/>
          <w:b/>
          <w:bCs/>
          <w:color w:val="000000"/>
        </w:rPr>
      </w:pPr>
      <w:r>
        <w:rPr>
          <w:rFonts w:ascii="Calibri" w:eastAsia="Times New Roman" w:hAnsi="Calibri" w:cs="Times New Roman"/>
          <w:b/>
          <w:bCs/>
          <w:color w:val="000000"/>
        </w:rPr>
        <w:t>TOTAL = 1,071</w:t>
      </w:r>
    </w:p>
    <w:p w:rsidR="00AD7A3A" w:rsidRDefault="00AD7A3A"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5062D3">
        <w:rPr>
          <w:rFonts w:cs="Arial"/>
          <w:b/>
          <w:sz w:val="28"/>
          <w:szCs w:val="20"/>
        </w:rPr>
        <w:t>OCTOBER</w:t>
      </w:r>
      <w:r w:rsidR="003F709F" w:rsidRPr="003F709F">
        <w:rPr>
          <w:rFonts w:cs="Arial"/>
          <w:b/>
          <w:sz w:val="28"/>
          <w:szCs w:val="20"/>
        </w:rPr>
        <w:t xml:space="preserve"> THROUGH </w:t>
      </w:r>
      <w:r w:rsidR="005062D3">
        <w:rPr>
          <w:rFonts w:cs="Arial"/>
          <w:b/>
          <w:sz w:val="28"/>
          <w:szCs w:val="20"/>
        </w:rPr>
        <w:t>DEC</w:t>
      </w:r>
      <w:r w:rsidR="00056A21">
        <w:rPr>
          <w:rFonts w:cs="Arial"/>
          <w:b/>
          <w:sz w:val="28"/>
          <w:szCs w:val="20"/>
        </w:rPr>
        <w:t>EMBER</w:t>
      </w:r>
      <w:r w:rsidR="00FF3918">
        <w:rPr>
          <w:rFonts w:cs="Arial"/>
          <w:b/>
          <w:sz w:val="28"/>
          <w:szCs w:val="20"/>
        </w:rPr>
        <w:t xml:space="preserve"> 2016</w:t>
      </w:r>
    </w:p>
    <w:tbl>
      <w:tblPr>
        <w:tblW w:w="8730" w:type="dxa"/>
        <w:tblLook w:val="04A0" w:firstRow="1" w:lastRow="0" w:firstColumn="1" w:lastColumn="0" w:noHBand="0" w:noVBand="1"/>
      </w:tblPr>
      <w:tblGrid>
        <w:gridCol w:w="6930"/>
        <w:gridCol w:w="12"/>
        <w:gridCol w:w="1788"/>
      </w:tblGrid>
      <w:tr w:rsidR="00FD2BED" w:rsidRPr="00FD2BED" w:rsidTr="00FD2BED">
        <w:trPr>
          <w:trHeight w:val="315"/>
        </w:trPr>
        <w:tc>
          <w:tcPr>
            <w:tcW w:w="6942" w:type="dxa"/>
            <w:gridSpan w:val="2"/>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788"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r w:rsidR="00FD2BED" w:rsidRPr="00FD2BED" w:rsidTr="00FD2BED">
        <w:trPr>
          <w:trHeight w:val="6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ATSSA: Safe Installation and Removal of Temporary Traffic Control Devices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Bridge Site Safety Worker Orientation</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Handling and Storage of Reinforcing Steel</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Introduction to NDDOT Construction Automated Records System (CARS)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Introduction to the Soil-Moisture Density Relationship</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3</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Lightweight Pieces in Aggregate</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Microwave and Oven Methods of Drying Soils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Proctor Test</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Proctor Test Short Version</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Reducing Aggregate Samples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Sand Cone Test</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Materials Testing: Sieve Analysis of Fine and Coarse Aggregates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Seal Coat Module 1: Pavement Preservation, Handbook, Design, &amp; Pay Items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Seal Coat Module 2: Aggregate Requirements &amp; Binders</w:t>
            </w:r>
          </w:p>
        </w:tc>
        <w:tc>
          <w:tcPr>
            <w:tcW w:w="1788" w:type="dxa"/>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Seal Coat Module 3: Construction Details, Pavement Markings, Fog Sealing, &amp; What's New</w:t>
            </w:r>
          </w:p>
        </w:tc>
        <w:tc>
          <w:tcPr>
            <w:tcW w:w="1788" w:type="dxa"/>
            <w:tcBorders>
              <w:top w:val="nil"/>
              <w:left w:val="nil"/>
              <w:bottom w:val="nil"/>
              <w:right w:val="nil"/>
            </w:tcBorders>
            <w:shd w:val="clear" w:color="auto" w:fill="auto"/>
            <w:noWrap/>
            <w:vAlign w:val="bottom"/>
          </w:tcPr>
          <w:p w:rsidR="00FD2BED" w:rsidRPr="00FD2BED" w:rsidRDefault="00FD2BED" w:rsidP="00FD2BE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FD2BED" w:rsidRPr="00FD2BED" w:rsidTr="00FD2BED">
        <w:trPr>
          <w:trHeight w:val="300"/>
        </w:trPr>
        <w:tc>
          <w:tcPr>
            <w:tcW w:w="6942" w:type="dxa"/>
            <w:gridSpan w:val="2"/>
            <w:tcBorders>
              <w:top w:val="nil"/>
              <w:left w:val="nil"/>
              <w:bottom w:val="nil"/>
              <w:right w:val="nil"/>
            </w:tcBorders>
            <w:shd w:val="clear" w:color="auto" w:fill="auto"/>
            <w:vAlign w:val="bottom"/>
          </w:tcPr>
          <w:p w:rsidR="00FD2BED" w:rsidRPr="00FD2BED" w:rsidRDefault="00FD2BED" w:rsidP="00FD2BED">
            <w:pPr>
              <w:spacing w:after="0" w:line="240" w:lineRule="auto"/>
              <w:rPr>
                <w:rFonts w:ascii="Calibri" w:eastAsia="Times New Roman" w:hAnsi="Calibri" w:cs="Times New Roman"/>
                <w:color w:val="000000"/>
              </w:rPr>
            </w:pPr>
          </w:p>
        </w:tc>
        <w:tc>
          <w:tcPr>
            <w:tcW w:w="1788" w:type="dxa"/>
            <w:tcBorders>
              <w:top w:val="nil"/>
              <w:left w:val="nil"/>
              <w:bottom w:val="nil"/>
              <w:right w:val="nil"/>
            </w:tcBorders>
            <w:shd w:val="clear" w:color="auto" w:fill="auto"/>
            <w:noWrap/>
            <w:vAlign w:val="bottom"/>
          </w:tcPr>
          <w:p w:rsidR="00FD2BED" w:rsidRDefault="00FD2BED" w:rsidP="00FD2BED">
            <w:pPr>
              <w:spacing w:after="0" w:line="240" w:lineRule="auto"/>
              <w:jc w:val="center"/>
              <w:rPr>
                <w:rFonts w:ascii="Calibri" w:eastAsia="Times New Roman" w:hAnsi="Calibri" w:cs="Times New Roman"/>
                <w:color w:val="000000"/>
              </w:rPr>
            </w:pPr>
          </w:p>
        </w:tc>
      </w:tr>
      <w:tr w:rsidR="00FD2BED" w:rsidRPr="00FD2BED" w:rsidTr="00FD2BED">
        <w:trPr>
          <w:trHeight w:val="315"/>
        </w:trPr>
        <w:tc>
          <w:tcPr>
            <w:tcW w:w="6930"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p>
        </w:tc>
        <w:tc>
          <w:tcPr>
            <w:tcW w:w="1800" w:type="dxa"/>
            <w:gridSpan w:val="2"/>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r w:rsidR="00FD2BED" w:rsidRPr="00FD2BED" w:rsidTr="00FD2BED">
        <w:trPr>
          <w:trHeight w:val="6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3D Engineered Models for Construction Series: Introduction to 3D Engineered Models for Highway Transportation (Module 1)</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Advanced Self-Consolidating Concrete</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Aggregate Sampling Basics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Basic Construction Surveying</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5</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Change Orders, Claims, and Dispute Resolutions: Change Orders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Chip Seal Best Practices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3</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Concrete Series: Basics of Cement Hydration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Concrete Series: Construction of Concrete Pavements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Concrete Series: Early Age Cracking</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6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Concrete Series: Fundamentals of Materials Used for Concrete Pavements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Concrete Series: QCQA for Concrete Pavements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Construction of Mechanically Stabilized Earth (MSE) Walls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10</w:t>
            </w:r>
          </w:p>
        </w:tc>
      </w:tr>
      <w:tr w:rsidR="00FD2BED" w:rsidRPr="00FD2BED" w:rsidTr="00FD2BED">
        <w:trPr>
          <w:trHeight w:val="6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Construction of PCC Pavement Series: Curing, Sawing, and Joint Sealing: Module 3</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Earthwork Series: Earth Materials as Engineering Materials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3</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Earthwork Series: Excavation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10</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Earthwork Series: Fill Placement</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Earthwork Series: Grades and Grading</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Earthwork Series: Site Preparation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Ethics in the Transportation Industry</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Flagger Training</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Full Depth Reclamation (FDR): Module 1</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 xml:space="preserve">TC3 Fundamentals of </w:t>
            </w:r>
            <w:proofErr w:type="spellStart"/>
            <w:r w:rsidRPr="00FD2BED">
              <w:rPr>
                <w:rFonts w:ascii="Calibri" w:eastAsia="Times New Roman" w:hAnsi="Calibri" w:cs="Times New Roman"/>
                <w:color w:val="000000"/>
              </w:rPr>
              <w:t>Geosynthetic</w:t>
            </w:r>
            <w:proofErr w:type="spellEnd"/>
            <w:r w:rsidRPr="00FD2BED">
              <w:rPr>
                <w:rFonts w:ascii="Calibri" w:eastAsia="Times New Roman" w:hAnsi="Calibri" w:cs="Times New Roman"/>
                <w:color w:val="000000"/>
              </w:rPr>
              <w:t xml:space="preserve"> Materials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8</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HMA Paving Field Inspection: Introduction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Maintenance of Traffic for Technicians: Introduction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Maintenance of Traffic for Technicians: Module 1</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PCC Pavement Preservation Series: Concrete Overlays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3</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PCC Pavement Preservation Series: Full-Depth Repairs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27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PCC Pavement Preservation Series: Joint Resealing and Crack Sealing</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10</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PCC Pavement Preservation Series: Load Transfer Restoration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PCC Pavement Preservation Series: Partial-Depth Repairs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Personal Protective Equipment (PPE)</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Pipe Installation, Inspection, and Quality</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16</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Bridge Plans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County Plans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Culvert Plans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Grading Plans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Highway Plan Reading Basics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Plan Reading: Right-of-Way Plans</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1</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TC3 Portland Cement Concrete Paving Inspection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5</w:t>
            </w:r>
          </w:p>
        </w:tc>
      </w:tr>
      <w:tr w:rsidR="00FD2BED" w:rsidRPr="00FD2BED" w:rsidTr="00FD2BED">
        <w:trPr>
          <w:trHeight w:val="300"/>
        </w:trPr>
        <w:tc>
          <w:tcPr>
            <w:tcW w:w="6930" w:type="dxa"/>
            <w:tcBorders>
              <w:top w:val="nil"/>
              <w:left w:val="nil"/>
              <w:bottom w:val="nil"/>
              <w:right w:val="nil"/>
            </w:tcBorders>
            <w:shd w:val="clear" w:color="auto" w:fill="auto"/>
            <w:vAlign w:val="bottom"/>
            <w:hideMark/>
          </w:tcPr>
          <w:p w:rsidR="00FD2BED" w:rsidRPr="00FD2BED" w:rsidRDefault="00FD2BED" w:rsidP="00FD2BED">
            <w:pPr>
              <w:spacing w:after="0" w:line="240" w:lineRule="auto"/>
              <w:rPr>
                <w:rFonts w:ascii="Calibri" w:eastAsia="Times New Roman" w:hAnsi="Calibri" w:cs="Times New Roman"/>
                <w:color w:val="000000"/>
              </w:rPr>
            </w:pPr>
            <w:r w:rsidRPr="00FD2BED">
              <w:rPr>
                <w:rFonts w:ascii="Calibri" w:eastAsia="Times New Roman" w:hAnsi="Calibri" w:cs="Times New Roman"/>
                <w:color w:val="000000"/>
              </w:rPr>
              <w:t xml:space="preserve">TC3 </w:t>
            </w:r>
            <w:proofErr w:type="spellStart"/>
            <w:r w:rsidRPr="00FD2BED">
              <w:rPr>
                <w:rFonts w:ascii="Calibri" w:eastAsia="Times New Roman" w:hAnsi="Calibri" w:cs="Times New Roman"/>
                <w:color w:val="000000"/>
              </w:rPr>
              <w:t>Superpave</w:t>
            </w:r>
            <w:proofErr w:type="spellEnd"/>
            <w:r w:rsidRPr="00FD2BED">
              <w:rPr>
                <w:rFonts w:ascii="Calibri" w:eastAsia="Times New Roman" w:hAnsi="Calibri" w:cs="Times New Roman"/>
                <w:color w:val="000000"/>
              </w:rPr>
              <w:t xml:space="preserve"> for Construction</w:t>
            </w:r>
          </w:p>
        </w:tc>
        <w:tc>
          <w:tcPr>
            <w:tcW w:w="1800" w:type="dxa"/>
            <w:gridSpan w:val="2"/>
            <w:tcBorders>
              <w:top w:val="nil"/>
              <w:left w:val="nil"/>
              <w:bottom w:val="nil"/>
              <w:right w:val="nil"/>
            </w:tcBorders>
            <w:shd w:val="clear" w:color="auto" w:fill="auto"/>
            <w:noWrap/>
            <w:vAlign w:val="bottom"/>
            <w:hideMark/>
          </w:tcPr>
          <w:p w:rsidR="00FD2BED" w:rsidRPr="00FD2BED" w:rsidRDefault="00FD2BED" w:rsidP="00FD2BED">
            <w:pPr>
              <w:spacing w:after="0" w:line="240" w:lineRule="auto"/>
              <w:jc w:val="center"/>
              <w:rPr>
                <w:rFonts w:ascii="Calibri" w:eastAsia="Times New Roman" w:hAnsi="Calibri" w:cs="Times New Roman"/>
                <w:color w:val="000000"/>
              </w:rPr>
            </w:pPr>
            <w:r w:rsidRPr="00FD2BED">
              <w:rPr>
                <w:rFonts w:ascii="Calibri" w:eastAsia="Times New Roman" w:hAnsi="Calibri" w:cs="Times New Roman"/>
                <w:color w:val="000000"/>
              </w:rPr>
              <w:t>2</w:t>
            </w:r>
          </w:p>
        </w:tc>
      </w:tr>
    </w:tbl>
    <w:p w:rsidR="00EE27DB" w:rsidRDefault="00EE27DB" w:rsidP="00551D8A">
      <w:pPr>
        <w:spacing w:after="0"/>
        <w:ind w:left="-720" w:right="-720"/>
        <w:rPr>
          <w:rFonts w:ascii="Arial" w:hAnsi="Arial" w:cs="Arial"/>
          <w:sz w:val="20"/>
          <w:szCs w:val="20"/>
        </w:rPr>
      </w:pPr>
    </w:p>
    <w:p w:rsidR="00112167" w:rsidRPr="00AD7A3A" w:rsidRDefault="00112167" w:rsidP="00112167">
      <w:pPr>
        <w:spacing w:after="0" w:line="240" w:lineRule="auto"/>
        <w:ind w:left="5040" w:firstLine="720"/>
        <w:rPr>
          <w:rFonts w:ascii="Calibri" w:eastAsia="Times New Roman" w:hAnsi="Calibri" w:cs="Times New Roman"/>
          <w:b/>
          <w:bCs/>
          <w:color w:val="000000"/>
        </w:rPr>
      </w:pPr>
      <w:r>
        <w:rPr>
          <w:rFonts w:ascii="Calibri" w:eastAsia="Times New Roman" w:hAnsi="Calibri" w:cs="Times New Roman"/>
          <w:b/>
          <w:bCs/>
          <w:color w:val="000000"/>
        </w:rPr>
        <w:t xml:space="preserve">               TOTAL = </w:t>
      </w:r>
      <w:r w:rsidR="005062D3">
        <w:rPr>
          <w:rFonts w:ascii="Calibri" w:eastAsia="Times New Roman" w:hAnsi="Calibri" w:cs="Times New Roman"/>
          <w:b/>
          <w:bCs/>
          <w:color w:val="000000"/>
        </w:rPr>
        <w:t>133</w:t>
      </w:r>
    </w:p>
    <w:p w:rsidR="00112167" w:rsidRDefault="00112167"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0E6FD0">
              <w:rPr>
                <w:rFonts w:ascii="Arial" w:hAnsi="Arial" w:cs="Arial"/>
                <w:sz w:val="20"/>
                <w:szCs w:val="20"/>
              </w:rPr>
              <w:t xml:space="preserve">These presentations were broadcast through video conferencing or webinars.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13" w:rsidRDefault="00647013" w:rsidP="00106C83">
      <w:pPr>
        <w:spacing w:after="0" w:line="240" w:lineRule="auto"/>
      </w:pPr>
      <w:r>
        <w:separator/>
      </w:r>
    </w:p>
  </w:endnote>
  <w:endnote w:type="continuationSeparator" w:id="0">
    <w:p w:rsidR="00647013" w:rsidRDefault="006470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13" w:rsidRDefault="00647013" w:rsidP="00106C83">
      <w:pPr>
        <w:spacing w:after="0" w:line="240" w:lineRule="auto"/>
      </w:pPr>
      <w:r>
        <w:separator/>
      </w:r>
    </w:p>
  </w:footnote>
  <w:footnote w:type="continuationSeparator" w:id="0">
    <w:p w:rsidR="00647013" w:rsidRDefault="0064701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36BB"/>
    <w:rsid w:val="000831BE"/>
    <w:rsid w:val="000B665A"/>
    <w:rsid w:val="000C0DC7"/>
    <w:rsid w:val="000E6FD0"/>
    <w:rsid w:val="00101E9A"/>
    <w:rsid w:val="00106C83"/>
    <w:rsid w:val="00112167"/>
    <w:rsid w:val="00115046"/>
    <w:rsid w:val="00124DB4"/>
    <w:rsid w:val="00135D85"/>
    <w:rsid w:val="001547D0"/>
    <w:rsid w:val="00161153"/>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8254A"/>
    <w:rsid w:val="0038705A"/>
    <w:rsid w:val="003969C0"/>
    <w:rsid w:val="003D5409"/>
    <w:rsid w:val="003E7762"/>
    <w:rsid w:val="003F709F"/>
    <w:rsid w:val="004073D0"/>
    <w:rsid w:val="004144E6"/>
    <w:rsid w:val="004156B2"/>
    <w:rsid w:val="004266DF"/>
    <w:rsid w:val="00437734"/>
    <w:rsid w:val="00442252"/>
    <w:rsid w:val="004522C1"/>
    <w:rsid w:val="004525AC"/>
    <w:rsid w:val="004B63C7"/>
    <w:rsid w:val="004E14DC"/>
    <w:rsid w:val="00500FD4"/>
    <w:rsid w:val="005062D3"/>
    <w:rsid w:val="0052531D"/>
    <w:rsid w:val="00535598"/>
    <w:rsid w:val="00540E1D"/>
    <w:rsid w:val="00540E8D"/>
    <w:rsid w:val="00544580"/>
    <w:rsid w:val="00547EE3"/>
    <w:rsid w:val="00550408"/>
    <w:rsid w:val="00551D8A"/>
    <w:rsid w:val="0058131F"/>
    <w:rsid w:val="00581B36"/>
    <w:rsid w:val="00583E8E"/>
    <w:rsid w:val="00594503"/>
    <w:rsid w:val="005C7B56"/>
    <w:rsid w:val="005D43AB"/>
    <w:rsid w:val="005E61D8"/>
    <w:rsid w:val="005E63E7"/>
    <w:rsid w:val="005F410F"/>
    <w:rsid w:val="00601EBD"/>
    <w:rsid w:val="00613382"/>
    <w:rsid w:val="00626003"/>
    <w:rsid w:val="00636EEC"/>
    <w:rsid w:val="00647013"/>
    <w:rsid w:val="00680C61"/>
    <w:rsid w:val="00682C5E"/>
    <w:rsid w:val="00685514"/>
    <w:rsid w:val="00692DEC"/>
    <w:rsid w:val="006E4A61"/>
    <w:rsid w:val="006F056B"/>
    <w:rsid w:val="006F20D0"/>
    <w:rsid w:val="006F722A"/>
    <w:rsid w:val="00701914"/>
    <w:rsid w:val="007107A3"/>
    <w:rsid w:val="00713105"/>
    <w:rsid w:val="0072783F"/>
    <w:rsid w:val="0074318A"/>
    <w:rsid w:val="00743C01"/>
    <w:rsid w:val="00766E20"/>
    <w:rsid w:val="00790C4A"/>
    <w:rsid w:val="007E3E7D"/>
    <w:rsid w:val="007E42A2"/>
    <w:rsid w:val="007E5BD2"/>
    <w:rsid w:val="00836E98"/>
    <w:rsid w:val="00843A1C"/>
    <w:rsid w:val="0084418D"/>
    <w:rsid w:val="00872F18"/>
    <w:rsid w:val="00874EF7"/>
    <w:rsid w:val="00876C64"/>
    <w:rsid w:val="008A3762"/>
    <w:rsid w:val="008B0555"/>
    <w:rsid w:val="008B62C9"/>
    <w:rsid w:val="008C1B69"/>
    <w:rsid w:val="008D0D13"/>
    <w:rsid w:val="008F39C4"/>
    <w:rsid w:val="008F7F67"/>
    <w:rsid w:val="00901D42"/>
    <w:rsid w:val="00915AE6"/>
    <w:rsid w:val="00922A5B"/>
    <w:rsid w:val="0094182D"/>
    <w:rsid w:val="00945D80"/>
    <w:rsid w:val="0099070A"/>
    <w:rsid w:val="0099503D"/>
    <w:rsid w:val="00996721"/>
    <w:rsid w:val="009F78F2"/>
    <w:rsid w:val="00A06C4E"/>
    <w:rsid w:val="00A2124A"/>
    <w:rsid w:val="00A43875"/>
    <w:rsid w:val="00A46BA1"/>
    <w:rsid w:val="00A52F9F"/>
    <w:rsid w:val="00A63677"/>
    <w:rsid w:val="00A65868"/>
    <w:rsid w:val="00A73DC1"/>
    <w:rsid w:val="00AD7A3A"/>
    <w:rsid w:val="00AE46B0"/>
    <w:rsid w:val="00B12182"/>
    <w:rsid w:val="00B2185C"/>
    <w:rsid w:val="00B242E2"/>
    <w:rsid w:val="00B45695"/>
    <w:rsid w:val="00B52F49"/>
    <w:rsid w:val="00B61DB7"/>
    <w:rsid w:val="00B66A21"/>
    <w:rsid w:val="00BA0F12"/>
    <w:rsid w:val="00BA1C9F"/>
    <w:rsid w:val="00BA5750"/>
    <w:rsid w:val="00BB3711"/>
    <w:rsid w:val="00BE2AA1"/>
    <w:rsid w:val="00C13753"/>
    <w:rsid w:val="00C64BBE"/>
    <w:rsid w:val="00C64D31"/>
    <w:rsid w:val="00C77565"/>
    <w:rsid w:val="00C82B60"/>
    <w:rsid w:val="00CA0093"/>
    <w:rsid w:val="00CE3717"/>
    <w:rsid w:val="00D04340"/>
    <w:rsid w:val="00D057F7"/>
    <w:rsid w:val="00D05DC0"/>
    <w:rsid w:val="00D33F90"/>
    <w:rsid w:val="00D417EC"/>
    <w:rsid w:val="00D950E4"/>
    <w:rsid w:val="00DB2E0C"/>
    <w:rsid w:val="00DC33B5"/>
    <w:rsid w:val="00DC7C5C"/>
    <w:rsid w:val="00DE1239"/>
    <w:rsid w:val="00DF56D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CB42B"/>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0935B-24C7-42B6-B1AB-0453CF94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6</cp:revision>
  <cp:lastPrinted>2012-05-01T05:55:00Z</cp:lastPrinted>
  <dcterms:created xsi:type="dcterms:W3CDTF">2017-04-06T14:56:00Z</dcterms:created>
  <dcterms:modified xsi:type="dcterms:W3CDTF">2017-04-06T18:50:00Z</dcterms:modified>
</cp:coreProperties>
</file>