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4F8DCCF8" w:rsidR="00AA4D6E" w:rsidRPr="004B522C" w:rsidRDefault="004B522C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B522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B522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D238F6" w:rsidRPr="004B522C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4B522C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A17B9A" w14:textId="6BD83CDB" w:rsidR="00AA4D6E" w:rsidRPr="001326CF" w:rsidRDefault="001326C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26C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1326C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1326C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 w:rsidRPr="001326CF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1326CF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1326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45EC7F44" w:rsidR="00AA4D6E" w:rsidRPr="008221E1" w:rsidRDefault="008221E1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221E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8221E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8221E1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D238F6" w:rsidRPr="008221E1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8221E1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8221E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0AF2A304" w:rsidR="000C209F" w:rsidRPr="008221E1" w:rsidRDefault="008221E1" w:rsidP="000D0360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221E1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8221E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8221E1">
              <w:rPr>
                <w:rFonts w:ascii="Arial" w:hAnsi="Arial" w:cs="Arial"/>
                <w:b/>
                <w:sz w:val="20"/>
                <w:szCs w:val="20"/>
              </w:rPr>
              <w:t>Quarter 4 (October 1 – December 31, 20</w:t>
            </w:r>
            <w:r w:rsidR="00D238F6" w:rsidRPr="008221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40A03" w:rsidRPr="008221E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4D6E" w:rsidRPr="008221E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340E4667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September</w:t>
            </w:r>
            <w:r w:rsidR="00AE137E">
              <w:rPr>
                <w:rFonts w:ascii="Arial" w:hAnsi="Arial" w:cs="Arial"/>
                <w:sz w:val="20"/>
                <w:szCs w:val="20"/>
              </w:rPr>
              <w:t xml:space="preserve"> 30, 2021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4CA0A345" w:rsidR="000C209F" w:rsidRPr="00AE137E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41C1B71B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B677D4"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B677D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69A3A34B" w14:textId="508C1ECB" w:rsidR="000C209F" w:rsidRPr="0085570C" w:rsidRDefault="00DC27B6" w:rsidP="009B64A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441F4A">
              <w:rPr>
                <w:rFonts w:ascii="Arial" w:hAnsi="Arial" w:cs="Arial"/>
                <w:sz w:val="20"/>
                <w:szCs w:val="20"/>
              </w:rPr>
              <w:t>140,000.00</w:t>
            </w:r>
          </w:p>
        </w:tc>
        <w:tc>
          <w:tcPr>
            <w:tcW w:w="3420" w:type="dxa"/>
            <w:vAlign w:val="center"/>
          </w:tcPr>
          <w:p w14:paraId="45BC520E" w14:textId="01885A4D" w:rsidR="000C209F" w:rsidRPr="005D4104" w:rsidRDefault="0065399C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ED3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612820AC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9B64A2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5293EE50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65399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3CC11012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9B64A2">
              <w:rPr>
                <w:rFonts w:ascii="Arial" w:hAnsi="Arial" w:cs="Arial"/>
                <w:sz w:val="20"/>
                <w:szCs w:val="20"/>
              </w:rPr>
              <w:t>0.00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5D89631D" w:rsidR="000C209F" w:rsidRPr="00360664" w:rsidRDefault="0065399C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DCC">
              <w:rPr>
                <w:rFonts w:ascii="Arial" w:hAnsi="Arial" w:cs="Arial"/>
                <w:b/>
                <w:sz w:val="20"/>
                <w:szCs w:val="20"/>
              </w:rPr>
              <w:t>Progress this Quarter (includes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3B972C72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21B145A8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6FFC9" w14:textId="28CA0E9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67B077FA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CFA0BE" w14:textId="4D56599C" w:rsidR="00BC102D" w:rsidRPr="00BC102D" w:rsidRDefault="00A57E58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  <w:r w:rsidR="00BC102D" w:rsidRPr="00BC102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AA7E04" w14:textId="51277348" w:rsidR="00BC102D" w:rsidRPr="009A130A" w:rsidRDefault="00477F21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94B1E86" w14:textId="0CF15479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62BCA">
              <w:rPr>
                <w:rFonts w:ascii="Arial" w:hAnsi="Arial" w:cs="Arial"/>
                <w:sz w:val="20"/>
                <w:szCs w:val="20"/>
              </w:rPr>
              <w:t>UDOT and other TAC members provided review comments on the d</w:t>
            </w:r>
            <w:r>
              <w:rPr>
                <w:rFonts w:ascii="Arial" w:hAnsi="Arial" w:cs="Arial"/>
                <w:sz w:val="20"/>
                <w:szCs w:val="20"/>
              </w:rPr>
              <w:t xml:space="preserve">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="00062B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A6038" w14:textId="2B332EE2" w:rsidR="00062BC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1273A3">
              <w:rPr>
                <w:rFonts w:ascii="Arial" w:hAnsi="Arial" w:cs="Arial"/>
                <w:sz w:val="20"/>
                <w:szCs w:val="20"/>
              </w:rPr>
              <w:t>We h</w:t>
            </w:r>
            <w:r w:rsidR="00062BCA">
              <w:rPr>
                <w:rFonts w:ascii="Arial" w:hAnsi="Arial" w:cs="Arial"/>
                <w:sz w:val="20"/>
                <w:szCs w:val="20"/>
              </w:rPr>
              <w:t>e</w:t>
            </w:r>
            <w:r w:rsidR="00062BCA">
              <w:rPr>
                <w:rFonts w:ascii="Arial" w:hAnsi="Arial" w:cs="Arial"/>
                <w:sz w:val="20"/>
                <w:szCs w:val="20"/>
              </w:rPr>
              <w:t xml:space="preserve">ld a </w:t>
            </w:r>
            <w:r w:rsidR="00293DDA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062BCA">
              <w:rPr>
                <w:rFonts w:ascii="Arial" w:hAnsi="Arial" w:cs="Arial"/>
                <w:sz w:val="20"/>
                <w:szCs w:val="20"/>
              </w:rPr>
              <w:t xml:space="preserve">TAC web conference </w:t>
            </w:r>
            <w:r w:rsidR="00062BCA">
              <w:rPr>
                <w:rFonts w:ascii="Arial" w:hAnsi="Arial" w:cs="Arial"/>
                <w:sz w:val="20"/>
                <w:szCs w:val="20"/>
              </w:rPr>
              <w:t xml:space="preserve">in November 2021 </w:t>
            </w:r>
            <w:r w:rsidR="001273A3">
              <w:rPr>
                <w:rFonts w:ascii="Arial" w:hAnsi="Arial" w:cs="Arial"/>
                <w:sz w:val="20"/>
                <w:szCs w:val="20"/>
              </w:rPr>
              <w:t xml:space="preserve">and discussed </w:t>
            </w:r>
            <w:r w:rsidR="001273A3">
              <w:rPr>
                <w:rFonts w:ascii="Arial" w:hAnsi="Arial" w:cs="Arial"/>
                <w:sz w:val="20"/>
                <w:szCs w:val="20"/>
              </w:rPr>
              <w:t>the final results of the study</w:t>
            </w:r>
            <w:r w:rsidR="001273A3">
              <w:rPr>
                <w:rFonts w:ascii="Arial" w:hAnsi="Arial" w:cs="Arial"/>
                <w:sz w:val="20"/>
                <w:szCs w:val="20"/>
              </w:rPr>
              <w:t>, review comments on th</w:t>
            </w:r>
            <w:r w:rsidR="001273A3" w:rsidRPr="001273A3">
              <w:rPr>
                <w:rFonts w:ascii="Arial" w:hAnsi="Arial" w:cs="Arial"/>
                <w:sz w:val="20"/>
                <w:szCs w:val="20"/>
              </w:rPr>
              <w:t>e final report,</w:t>
            </w:r>
            <w:r w:rsidR="001273A3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1273A3" w:rsidRPr="001273A3">
              <w:rPr>
                <w:rFonts w:ascii="Arial" w:hAnsi="Arial" w:cs="Arial"/>
                <w:sz w:val="20"/>
                <w:szCs w:val="20"/>
              </w:rPr>
              <w:t xml:space="preserve"> NGL lateral</w:t>
            </w:r>
            <w:r w:rsidR="00127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3A3" w:rsidRPr="001273A3">
              <w:rPr>
                <w:rFonts w:ascii="Arial" w:hAnsi="Arial" w:cs="Arial"/>
                <w:sz w:val="20"/>
                <w:szCs w:val="20"/>
              </w:rPr>
              <w:t>spread database, and modeling approach</w:t>
            </w:r>
            <w:r w:rsidR="001273A3"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61680D03" w14:textId="77777777" w:rsidR="00062BCA" w:rsidRDefault="00062BC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021141" w14:textId="055CDBC2" w:rsidR="0027627C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7C">
              <w:rPr>
                <w:rFonts w:ascii="Arial" w:hAnsi="Arial" w:cs="Arial"/>
                <w:sz w:val="20"/>
                <w:szCs w:val="20"/>
              </w:rPr>
              <w:t>No changes were made. Contract ended.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11F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C11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131AB598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FF50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24AA596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CA38B9" w14:textId="6FC81716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A55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2DE722A3" w14:textId="0463113C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776B">
              <w:rPr>
                <w:rFonts w:ascii="Arial" w:hAnsi="Arial" w:cs="Arial"/>
                <w:sz w:val="20"/>
                <w:szCs w:val="20"/>
              </w:rPr>
              <w:t>Completed</w:t>
            </w:r>
            <w:r w:rsidR="002A1F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5F2B2A9D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A43">
              <w:rPr>
                <w:rFonts w:ascii="Arial" w:hAnsi="Arial" w:cs="Arial"/>
                <w:sz w:val="20"/>
                <w:szCs w:val="20"/>
              </w:rPr>
              <w:t>UDOT and the U</w:t>
            </w:r>
            <w:r w:rsidR="005C6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A43">
              <w:rPr>
                <w:rFonts w:ascii="Arial" w:hAnsi="Arial" w:cs="Arial"/>
                <w:sz w:val="20"/>
                <w:szCs w:val="20"/>
              </w:rPr>
              <w:t>of</w:t>
            </w:r>
            <w:r w:rsidR="005C614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32A43">
              <w:rPr>
                <w:rFonts w:ascii="Arial" w:hAnsi="Arial" w:cs="Arial"/>
                <w:sz w:val="20"/>
                <w:szCs w:val="20"/>
              </w:rPr>
              <w:t>U will work together on updating and publishing the final report based on feedback from TAC members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28C65D" w14:textId="24E865BC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 w:rsidR="00A07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690">
              <w:rPr>
                <w:rFonts w:ascii="Arial" w:hAnsi="Arial" w:cs="Arial"/>
                <w:sz w:val="20"/>
                <w:szCs w:val="20"/>
              </w:rPr>
              <w:t>None are planned.</w:t>
            </w:r>
          </w:p>
          <w:p w14:paraId="604EAEEE" w14:textId="77777777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973B6" w14:textId="7C23C5BB" w:rsidR="007446EF" w:rsidRPr="00437C9F" w:rsidRDefault="00437C9F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 xml:space="preserve">Contract – </w:t>
            </w:r>
            <w:r w:rsidR="00CE218A">
              <w:rPr>
                <w:rFonts w:ascii="Arial" w:hAnsi="Arial" w:cs="Arial"/>
                <w:sz w:val="20"/>
                <w:szCs w:val="20"/>
              </w:rPr>
              <w:t>No changes are planned.</w:t>
            </w:r>
            <w:r w:rsidR="00A0726B">
              <w:rPr>
                <w:rFonts w:ascii="Arial" w:hAnsi="Arial" w:cs="Arial"/>
                <w:sz w:val="20"/>
                <w:szCs w:val="20"/>
              </w:rPr>
              <w:t xml:space="preserve"> Contract ended.</w:t>
            </w:r>
          </w:p>
          <w:p w14:paraId="6658C851" w14:textId="34AAF518" w:rsidR="00437C9F" w:rsidRPr="00302A69" w:rsidRDefault="00437C9F" w:rsidP="0038776B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230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291"/>
              <w:gridCol w:w="1086"/>
              <w:gridCol w:w="48"/>
              <w:gridCol w:w="1138"/>
              <w:gridCol w:w="70"/>
              <w:gridCol w:w="919"/>
              <w:gridCol w:w="57"/>
              <w:gridCol w:w="1077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64BFDCEF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</w:t>
                  </w:r>
                  <w:r w:rsidR="003740F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740F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Christchurch</w:t>
                  </w: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096D35" w14:textId="36C46944" w:rsidR="00300BD3" w:rsidRDefault="0038776B" w:rsidP="005E7B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U of U and BYU have submitted their datasets to PEER. </w:t>
            </w:r>
            <w:r w:rsidR="003113D3">
              <w:rPr>
                <w:rFonts w:ascii="Arial" w:hAnsi="Arial" w:cs="Arial"/>
                <w:sz w:val="20"/>
                <w:szCs w:val="20"/>
              </w:rPr>
              <w:t xml:space="preserve"> NGL reviewers can resolve any data conflicts.</w:t>
            </w:r>
          </w:p>
          <w:p w14:paraId="4294D214" w14:textId="666F5221" w:rsidR="0038776B" w:rsidRPr="00ED2FB8" w:rsidRDefault="0038776B" w:rsidP="005E7B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00F97C4F" w:rsidR="00344E45" w:rsidRDefault="0038776B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 criteria are currently available for implementation.  The</w:t>
            </w:r>
            <w:r w:rsidR="00ED2FB8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implemented via python code via a web-based graphical user interface.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F5F5" w14:textId="77777777" w:rsidR="00D879FB" w:rsidRDefault="00D879FB" w:rsidP="00106C83">
      <w:pPr>
        <w:spacing w:after="0" w:line="240" w:lineRule="auto"/>
      </w:pPr>
      <w:r>
        <w:separator/>
      </w:r>
    </w:p>
  </w:endnote>
  <w:endnote w:type="continuationSeparator" w:id="0">
    <w:p w14:paraId="16733F6E" w14:textId="77777777" w:rsidR="00D879FB" w:rsidRDefault="00D879F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232A48" w:rsidRDefault="00232A48" w:rsidP="00E371D1">
    <w:pPr>
      <w:pStyle w:val="Footer"/>
      <w:ind w:left="-810"/>
    </w:pPr>
    <w:r>
      <w:t>TPF Program Standard Quarterly Reporting Format – 7/2011</w:t>
    </w:r>
  </w:p>
  <w:p w14:paraId="6BAA3BBA" w14:textId="77777777" w:rsidR="00232A48" w:rsidRDefault="0023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ABF3" w14:textId="77777777" w:rsidR="00D879FB" w:rsidRDefault="00D879FB" w:rsidP="00106C83">
      <w:pPr>
        <w:spacing w:after="0" w:line="240" w:lineRule="auto"/>
      </w:pPr>
      <w:r>
        <w:separator/>
      </w:r>
    </w:p>
  </w:footnote>
  <w:footnote w:type="continuationSeparator" w:id="0">
    <w:p w14:paraId="54C5B680" w14:textId="77777777" w:rsidR="00D879FB" w:rsidRDefault="00D879F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15DF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4D5D"/>
    <w:rsid w:val="00026EA6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5DCC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2BCA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4E6F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0608"/>
    <w:rsid w:val="000B1557"/>
    <w:rsid w:val="000B2059"/>
    <w:rsid w:val="000B22E8"/>
    <w:rsid w:val="000B2F53"/>
    <w:rsid w:val="000B4634"/>
    <w:rsid w:val="000B665A"/>
    <w:rsid w:val="000C19CB"/>
    <w:rsid w:val="000C209F"/>
    <w:rsid w:val="000C2E87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15690"/>
    <w:rsid w:val="00121037"/>
    <w:rsid w:val="00122CE0"/>
    <w:rsid w:val="00122DE0"/>
    <w:rsid w:val="0012391C"/>
    <w:rsid w:val="00123A0A"/>
    <w:rsid w:val="001245CE"/>
    <w:rsid w:val="00125F3A"/>
    <w:rsid w:val="00126BF4"/>
    <w:rsid w:val="001273A3"/>
    <w:rsid w:val="001326CF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00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2A43"/>
    <w:rsid w:val="00232A48"/>
    <w:rsid w:val="0023315F"/>
    <w:rsid w:val="002351BE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27C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DDA"/>
    <w:rsid w:val="00293FD8"/>
    <w:rsid w:val="002959F8"/>
    <w:rsid w:val="00295CC7"/>
    <w:rsid w:val="0029655E"/>
    <w:rsid w:val="002A0D13"/>
    <w:rsid w:val="002A0E0A"/>
    <w:rsid w:val="002A1FC4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0BD3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3D3"/>
    <w:rsid w:val="00311494"/>
    <w:rsid w:val="00312CC9"/>
    <w:rsid w:val="00313136"/>
    <w:rsid w:val="003133E9"/>
    <w:rsid w:val="0031360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0FE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8776B"/>
    <w:rsid w:val="00393300"/>
    <w:rsid w:val="00395A48"/>
    <w:rsid w:val="003979BD"/>
    <w:rsid w:val="00397A3B"/>
    <w:rsid w:val="003A674B"/>
    <w:rsid w:val="003B1B40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174A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C9F"/>
    <w:rsid w:val="00437E79"/>
    <w:rsid w:val="00440CE6"/>
    <w:rsid w:val="00441F4A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3AE4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B522C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0FFD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68A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1F5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6141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E7B9A"/>
    <w:rsid w:val="005F2953"/>
    <w:rsid w:val="005F3E41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A03"/>
    <w:rsid w:val="00640E08"/>
    <w:rsid w:val="00641054"/>
    <w:rsid w:val="00642821"/>
    <w:rsid w:val="0064542D"/>
    <w:rsid w:val="00652082"/>
    <w:rsid w:val="0065399C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09B6"/>
    <w:rsid w:val="006923C9"/>
    <w:rsid w:val="00692B63"/>
    <w:rsid w:val="006A6B23"/>
    <w:rsid w:val="006A7AC1"/>
    <w:rsid w:val="006B1998"/>
    <w:rsid w:val="006B3C20"/>
    <w:rsid w:val="006B42FE"/>
    <w:rsid w:val="006B4E05"/>
    <w:rsid w:val="006B5943"/>
    <w:rsid w:val="006B6D4A"/>
    <w:rsid w:val="006B7448"/>
    <w:rsid w:val="006B7F63"/>
    <w:rsid w:val="006C08D2"/>
    <w:rsid w:val="006C0F3F"/>
    <w:rsid w:val="006C11F6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3550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883"/>
    <w:rsid w:val="007459C3"/>
    <w:rsid w:val="007471BA"/>
    <w:rsid w:val="00752379"/>
    <w:rsid w:val="0075244B"/>
    <w:rsid w:val="00752B6F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4BD7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351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2309"/>
    <w:rsid w:val="00803CB4"/>
    <w:rsid w:val="00805225"/>
    <w:rsid w:val="00811DF5"/>
    <w:rsid w:val="00813575"/>
    <w:rsid w:val="008137D5"/>
    <w:rsid w:val="00814F16"/>
    <w:rsid w:val="008202B0"/>
    <w:rsid w:val="00821F4B"/>
    <w:rsid w:val="008221E1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5A8E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D6C9C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841"/>
    <w:rsid w:val="00977F01"/>
    <w:rsid w:val="00980874"/>
    <w:rsid w:val="00981C37"/>
    <w:rsid w:val="0098654C"/>
    <w:rsid w:val="009868C5"/>
    <w:rsid w:val="00987681"/>
    <w:rsid w:val="00987C26"/>
    <w:rsid w:val="00990DDE"/>
    <w:rsid w:val="00990EA4"/>
    <w:rsid w:val="00990F22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4A2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1372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0726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414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4A4C"/>
    <w:rsid w:val="00A85447"/>
    <w:rsid w:val="00A86A55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37E"/>
    <w:rsid w:val="00AE185D"/>
    <w:rsid w:val="00AE2045"/>
    <w:rsid w:val="00AE46B0"/>
    <w:rsid w:val="00AE4CB3"/>
    <w:rsid w:val="00AE6101"/>
    <w:rsid w:val="00AE628E"/>
    <w:rsid w:val="00AF0275"/>
    <w:rsid w:val="00AF15B9"/>
    <w:rsid w:val="00AF413A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7D4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40A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02D"/>
    <w:rsid w:val="00BC1C41"/>
    <w:rsid w:val="00BC3B1A"/>
    <w:rsid w:val="00BC3D7D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6C2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50F"/>
    <w:rsid w:val="00C62BDF"/>
    <w:rsid w:val="00C64635"/>
    <w:rsid w:val="00C64D98"/>
    <w:rsid w:val="00C665A9"/>
    <w:rsid w:val="00C673B0"/>
    <w:rsid w:val="00C71A3F"/>
    <w:rsid w:val="00C75DE1"/>
    <w:rsid w:val="00C75F3D"/>
    <w:rsid w:val="00C761D6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5444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435B"/>
    <w:rsid w:val="00CC57BE"/>
    <w:rsid w:val="00CC5A91"/>
    <w:rsid w:val="00CD00EA"/>
    <w:rsid w:val="00CD1B7E"/>
    <w:rsid w:val="00CD44B3"/>
    <w:rsid w:val="00CD7E8A"/>
    <w:rsid w:val="00CE218A"/>
    <w:rsid w:val="00CE27F9"/>
    <w:rsid w:val="00CE2EA8"/>
    <w:rsid w:val="00CE3067"/>
    <w:rsid w:val="00CE5362"/>
    <w:rsid w:val="00CE6739"/>
    <w:rsid w:val="00CE718B"/>
    <w:rsid w:val="00CF0586"/>
    <w:rsid w:val="00CF0AE4"/>
    <w:rsid w:val="00CF6EA2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879F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1B3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38FC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2FB8"/>
    <w:rsid w:val="00ED3855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873CE"/>
    <w:rsid w:val="00F901D5"/>
    <w:rsid w:val="00F9085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041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27A1-A193-42E2-A1DC-A93B0FB4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107</cp:revision>
  <cp:lastPrinted>2011-06-21T20:32:00Z</cp:lastPrinted>
  <dcterms:created xsi:type="dcterms:W3CDTF">2022-01-19T17:00:00Z</dcterms:created>
  <dcterms:modified xsi:type="dcterms:W3CDTF">2022-01-19T17:22:00Z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