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F5FF8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F52777">
              <w:rPr>
                <w:rFonts w:ascii="Arial" w:hAnsi="Arial" w:cs="Arial"/>
                <w:sz w:val="20"/>
                <w:szCs w:val="20"/>
              </w:rPr>
              <w:t>1</w:t>
            </w:r>
          </w:p>
          <w:p w14:paraId="1372A530" w14:textId="5A0B8F4E"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3C36301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7520C65D"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C877D1">
              <w:rPr>
                <w:rFonts w:ascii="Arial" w:hAnsi="Arial" w:cs="Arial"/>
                <w:sz w:val="36"/>
                <w:szCs w:val="36"/>
              </w:rPr>
              <w:t>XX</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In order to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in order to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fragmentation, or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(Harrap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spatio-temporal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336D6E54" w14:textId="77777777" w:rsidR="00C877D1" w:rsidRPr="00C877D1" w:rsidRDefault="00C877D1" w:rsidP="00C877D1">
            <w:pPr>
              <w:rPr>
                <w:rFonts w:ascii="Arial" w:hAnsi="Arial" w:cs="Arial"/>
                <w:sz w:val="20"/>
                <w:szCs w:val="20"/>
              </w:rPr>
            </w:pPr>
            <w:r w:rsidRPr="00C877D1">
              <w:rPr>
                <w:rFonts w:ascii="Arial" w:hAnsi="Arial" w:cs="Arial"/>
                <w:sz w:val="20"/>
                <w:szCs w:val="20"/>
              </w:rPr>
              <w:t>The Task Order with the Univ. of Washington was signed to begin the project with Queen’s College and Oregon State University as subs.</w:t>
            </w:r>
          </w:p>
          <w:p w14:paraId="082E6D7A" w14:textId="77777777" w:rsidR="00C877D1" w:rsidRPr="00C877D1" w:rsidRDefault="00C877D1" w:rsidP="00C877D1">
            <w:pPr>
              <w:rPr>
                <w:rFonts w:ascii="Arial" w:hAnsi="Arial" w:cs="Arial"/>
                <w:sz w:val="20"/>
                <w:szCs w:val="20"/>
              </w:rPr>
            </w:pPr>
          </w:p>
          <w:p w14:paraId="782A9671" w14:textId="77777777" w:rsidR="00C877D1" w:rsidRPr="00C877D1" w:rsidRDefault="00C877D1" w:rsidP="00C877D1">
            <w:pPr>
              <w:rPr>
                <w:rFonts w:ascii="Arial" w:hAnsi="Arial" w:cs="Arial"/>
                <w:sz w:val="20"/>
                <w:szCs w:val="20"/>
              </w:rPr>
            </w:pPr>
            <w:r w:rsidRPr="00C877D1">
              <w:rPr>
                <w:rFonts w:ascii="Arial" w:hAnsi="Arial" w:cs="Arial"/>
                <w:sz w:val="20"/>
                <w:szCs w:val="20"/>
              </w:rPr>
              <w:t>A Microsoft Teams meeting was held to go over the start of the project with all the partner states on December 10, 2021. The meeting agenda is below:</w:t>
            </w:r>
          </w:p>
          <w:p w14:paraId="14DA64F0" w14:textId="77777777" w:rsidR="00C877D1" w:rsidRPr="00C877D1" w:rsidRDefault="00C877D1" w:rsidP="00C877D1">
            <w:pPr>
              <w:pStyle w:val="ListParagraph"/>
              <w:numPr>
                <w:ilvl w:val="0"/>
                <w:numId w:val="4"/>
              </w:numPr>
              <w:spacing w:before="100" w:beforeAutospacing="1" w:after="100" w:afterAutospacing="1"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t xml:space="preserve">Technical presentation - Jean Hutchinson and Joe Wartman </w:t>
            </w:r>
          </w:p>
          <w:p w14:paraId="195F16A5" w14:textId="77777777" w:rsidR="00C877D1" w:rsidRPr="00C877D1" w:rsidRDefault="00C877D1" w:rsidP="00C877D1">
            <w:pPr>
              <w:pStyle w:val="ListParagraph"/>
              <w:numPr>
                <w:ilvl w:val="0"/>
                <w:numId w:val="4"/>
              </w:numPr>
              <w:spacing w:before="100" w:beforeAutospacing="1" w:after="100" w:afterAutospacing="1"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t>Q &amp; A  </w:t>
            </w:r>
          </w:p>
          <w:p w14:paraId="6FF4680B" w14:textId="77777777" w:rsidR="00C877D1" w:rsidRPr="00C877D1" w:rsidRDefault="00C877D1" w:rsidP="00C877D1">
            <w:pPr>
              <w:pStyle w:val="ListParagraph"/>
              <w:numPr>
                <w:ilvl w:val="0"/>
                <w:numId w:val="4"/>
              </w:numPr>
              <w:spacing w:before="100" w:beforeAutospacing="1" w:after="100" w:afterAutospacing="1"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t>Funding discussion  </w:t>
            </w:r>
          </w:p>
          <w:p w14:paraId="0E485F5E" w14:textId="77777777" w:rsidR="00C877D1" w:rsidRPr="00C877D1" w:rsidRDefault="00C877D1" w:rsidP="00C877D1">
            <w:pPr>
              <w:pStyle w:val="ListParagraph"/>
              <w:numPr>
                <w:ilvl w:val="0"/>
                <w:numId w:val="4"/>
              </w:numPr>
              <w:spacing w:before="100" w:beforeAutospacing="1" w:after="100" w:afterAutospacing="1"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lastRenderedPageBreak/>
              <w:t xml:space="preserve">Methods of engagement with DOTS - data available, upcoming scaling projects, data collection opportunities by DOT / UW </w:t>
            </w:r>
          </w:p>
          <w:p w14:paraId="097F45E2" w14:textId="77777777" w:rsidR="00C877D1" w:rsidRPr="00C877D1" w:rsidRDefault="00C877D1" w:rsidP="00C877D1">
            <w:pPr>
              <w:pStyle w:val="ListParagraph"/>
              <w:numPr>
                <w:ilvl w:val="0"/>
                <w:numId w:val="4"/>
              </w:numPr>
              <w:spacing w:after="0"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t xml:space="preserve">Formation of a Technical Advisory Group (TAG) </w:t>
            </w:r>
          </w:p>
          <w:p w14:paraId="72A8B36F" w14:textId="32DF25A0" w:rsidR="00C877D1" w:rsidRDefault="00C877D1" w:rsidP="00C877D1">
            <w:pPr>
              <w:pStyle w:val="ListParagraph"/>
              <w:numPr>
                <w:ilvl w:val="0"/>
                <w:numId w:val="4"/>
              </w:numPr>
              <w:spacing w:after="0" w:line="240" w:lineRule="auto"/>
              <w:contextualSpacing w:val="0"/>
              <w:rPr>
                <w:rFonts w:ascii="Segoe UI" w:eastAsia="Times New Roman" w:hAnsi="Segoe UI" w:cs="Segoe UI"/>
                <w:sz w:val="21"/>
                <w:szCs w:val="21"/>
              </w:rPr>
            </w:pPr>
            <w:r w:rsidRPr="00C877D1">
              <w:rPr>
                <w:rFonts w:ascii="Segoe UI" w:eastAsia="Times New Roman" w:hAnsi="Segoe UI" w:cs="Segoe UI"/>
                <w:sz w:val="21"/>
                <w:szCs w:val="21"/>
              </w:rPr>
              <w:t>Meeting schedule</w:t>
            </w:r>
          </w:p>
          <w:p w14:paraId="35B34497" w14:textId="0D764DD6" w:rsidR="00C877D1" w:rsidRPr="00C877D1" w:rsidRDefault="00C877D1" w:rsidP="00C877D1">
            <w:pPr>
              <w:pStyle w:val="ListParagraph"/>
              <w:numPr>
                <w:ilvl w:val="0"/>
                <w:numId w:val="4"/>
              </w:numPr>
              <w:spacing w:after="0" w:line="240" w:lineRule="auto"/>
              <w:contextualSpacing w:val="0"/>
              <w:rPr>
                <w:rFonts w:ascii="Segoe UI" w:eastAsia="Times New Roman" w:hAnsi="Segoe UI" w:cs="Segoe UI"/>
                <w:sz w:val="21"/>
                <w:szCs w:val="21"/>
              </w:rPr>
            </w:pPr>
            <w:r>
              <w:rPr>
                <w:rFonts w:ascii="Segoe UI" w:eastAsia="Times New Roman" w:hAnsi="Segoe UI" w:cs="Segoe UI"/>
                <w:sz w:val="21"/>
                <w:szCs w:val="21"/>
              </w:rPr>
              <w:t>Expected deliverables</w:t>
            </w:r>
          </w:p>
          <w:p w14:paraId="60AD1A4B" w14:textId="77777777" w:rsidR="00D32544" w:rsidRDefault="00D32544"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C329D94" w14:textId="5D0BF44B"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EA7C39E" w14:textId="77777777" w:rsidR="00C877D1" w:rsidRDefault="00C877D1" w:rsidP="00551D8A">
            <w:pPr>
              <w:ind w:right="-720"/>
              <w:rPr>
                <w:rFonts w:ascii="Arial" w:hAnsi="Arial" w:cs="Arial"/>
                <w:sz w:val="20"/>
                <w:szCs w:val="20"/>
              </w:rPr>
            </w:pPr>
          </w:p>
          <w:p w14:paraId="7FDA9A15" w14:textId="7D37F61A" w:rsidR="00C877D1" w:rsidRDefault="00C877D1" w:rsidP="00C877D1">
            <w:r w:rsidRPr="00C877D1">
              <w:t xml:space="preserve">Project begins.  </w:t>
            </w:r>
            <w:r>
              <w:t xml:space="preserve">Data collection will begin on 2 WSDOT project in February and March 2022.  The next TAG meeting with all state participants is scheduled for 2/14/2022.  </w:t>
            </w:r>
            <w:r w:rsidRPr="00C877D1">
              <w:t>Collection of transfers from participating states for FY 2022</w:t>
            </w:r>
            <w:r>
              <w:t xml:space="preserve"> will begin.</w:t>
            </w:r>
          </w:p>
          <w:p w14:paraId="0BE0D0D0" w14:textId="0E94BB26" w:rsidR="009D0106" w:rsidRDefault="009D0106" w:rsidP="00551D8A">
            <w:pPr>
              <w:ind w:right="-720"/>
              <w:rPr>
                <w:rFonts w:ascii="Arial" w:hAnsi="Arial" w:cs="Arial"/>
                <w:sz w:val="20"/>
                <w:szCs w:val="20"/>
              </w:rPr>
            </w:pPr>
          </w:p>
          <w:p w14:paraId="7ADC6151" w14:textId="77777777" w:rsidR="00C877D1" w:rsidRDefault="00C877D1" w:rsidP="00551D8A">
            <w:pPr>
              <w:ind w:right="-720"/>
              <w:rPr>
                <w:rFonts w:ascii="Arial" w:hAnsi="Arial" w:cs="Arial"/>
                <w:sz w:val="20"/>
                <w:szCs w:val="20"/>
              </w:rPr>
            </w:pPr>
          </w:p>
          <w:p w14:paraId="35C10C32" w14:textId="77777777" w:rsidR="005A1EE9" w:rsidRDefault="005A1EE9" w:rsidP="00C877D1">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3154"/>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D0106"/>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877D1"/>
    <w:rsid w:val="00C903AB"/>
    <w:rsid w:val="00CE577A"/>
    <w:rsid w:val="00CF05D1"/>
    <w:rsid w:val="00D05DC0"/>
    <w:rsid w:val="00D05DF9"/>
    <w:rsid w:val="00D17528"/>
    <w:rsid w:val="00D32544"/>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2022-01-31T23:24:00Z</dcterms:created>
  <dcterms:modified xsi:type="dcterms:W3CDTF">2022-01-31T23:24:00Z</dcterms:modified>
</cp:coreProperties>
</file>